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111B" w14:textId="17CA4303" w:rsidR="00800724" w:rsidRPr="004A0E22" w:rsidRDefault="00800724" w:rsidP="00800724">
      <w:pPr>
        <w:pStyle w:val="Sectionheadline"/>
        <w:rPr>
          <w:rFonts w:ascii="Arial" w:hAnsi="Arial"/>
          <w:lang w:val="sv-SE"/>
        </w:rPr>
      </w:pPr>
      <w:bookmarkStart w:id="0" w:name="_39vrq9f5pij3" w:colFirst="0" w:colLast="0"/>
      <w:bookmarkEnd w:id="0"/>
      <w:r w:rsidRPr="004A0E22">
        <w:rPr>
          <w:rFonts w:ascii="Arial" w:hAnsi="Arial"/>
          <w:lang w:val="sv-SE"/>
        </w:rPr>
        <w:t xml:space="preserve">Omställningsstöd – </w:t>
      </w:r>
      <w:r w:rsidR="00BD1408">
        <w:rPr>
          <w:rFonts w:ascii="Arial" w:hAnsi="Arial"/>
          <w:lang w:val="sv-SE"/>
        </w:rPr>
        <w:t>allmänt</w:t>
      </w:r>
    </w:p>
    <w:p w14:paraId="201531D2" w14:textId="77777777" w:rsidR="00800724" w:rsidRPr="0054565D" w:rsidRDefault="00800724" w:rsidP="00800724">
      <w:pPr>
        <w:rPr>
          <w:lang w:val="sv-SE"/>
        </w:rPr>
      </w:pPr>
    </w:p>
    <w:p w14:paraId="68250640" w14:textId="77777777" w:rsidR="00800724" w:rsidRPr="0054565D" w:rsidRDefault="00800724" w:rsidP="00800724">
      <w:pPr>
        <w:pStyle w:val="Rubrik1"/>
        <w:rPr>
          <w:lang w:val="sv-SE"/>
        </w:rPr>
      </w:pPr>
      <w:r w:rsidRPr="0054565D">
        <w:rPr>
          <w:lang w:val="sv-SE"/>
        </w:rPr>
        <w:t>Inledning – allmänt om omställningsstödet</w:t>
      </w:r>
    </w:p>
    <w:p w14:paraId="24DEAA2A" w14:textId="477B3E1E" w:rsidR="000303BD" w:rsidRDefault="009208F6" w:rsidP="00800724">
      <w:pPr>
        <w:rPr>
          <w:shd w:val="clear" w:color="auto" w:fill="FFFFFF"/>
          <w:lang w:val="sv-SE"/>
        </w:rPr>
      </w:pPr>
      <w:r>
        <w:rPr>
          <w:shd w:val="clear" w:color="auto" w:fill="FFFFFF"/>
          <w:lang w:val="sv-SE"/>
        </w:rPr>
        <w:t xml:space="preserve">Nedan följer en kort sammanfattning av några av huvudpunkterna i reglerna om omställningsstöd. </w:t>
      </w:r>
      <w:r w:rsidR="000303BD">
        <w:rPr>
          <w:shd w:val="clear" w:color="auto" w:fill="FFFFFF"/>
          <w:lang w:val="sv-SE"/>
        </w:rPr>
        <w:t xml:space="preserve">För en </w:t>
      </w:r>
      <w:r>
        <w:rPr>
          <w:shd w:val="clear" w:color="auto" w:fill="FFFFFF"/>
          <w:lang w:val="sv-SE"/>
        </w:rPr>
        <w:t xml:space="preserve">fullständig </w:t>
      </w:r>
      <w:r w:rsidR="000303BD">
        <w:rPr>
          <w:shd w:val="clear" w:color="auto" w:fill="FFFFFF"/>
          <w:lang w:val="sv-SE"/>
        </w:rPr>
        <w:t xml:space="preserve">beskrivning </w:t>
      </w:r>
      <w:r>
        <w:rPr>
          <w:shd w:val="clear" w:color="auto" w:fill="FFFFFF"/>
          <w:lang w:val="sv-SE"/>
        </w:rPr>
        <w:t xml:space="preserve">av </w:t>
      </w:r>
      <w:r w:rsidR="000303BD">
        <w:rPr>
          <w:shd w:val="clear" w:color="auto" w:fill="FFFFFF"/>
          <w:lang w:val="sv-SE"/>
        </w:rPr>
        <w:t>reglerna om omställningsstöd bör revisorn ta del av Förordning</w:t>
      </w:r>
      <w:r>
        <w:rPr>
          <w:shd w:val="clear" w:color="auto" w:fill="FFFFFF"/>
          <w:lang w:val="sv-SE"/>
        </w:rPr>
        <w:t xml:space="preserve"> (</w:t>
      </w:r>
      <w:r w:rsidR="008860D9">
        <w:rPr>
          <w:lang w:val="sv-SE"/>
        </w:rPr>
        <w:t>2021:</w:t>
      </w:r>
      <w:r w:rsidR="00466C26">
        <w:rPr>
          <w:lang w:val="sv-SE"/>
        </w:rPr>
        <w:t>126</w:t>
      </w:r>
      <w:r w:rsidRPr="00C22A05">
        <w:rPr>
          <w:lang w:val="sv-SE"/>
        </w:rPr>
        <w:t>)</w:t>
      </w:r>
      <w:r>
        <w:rPr>
          <w:shd w:val="clear" w:color="auto" w:fill="FFFFFF"/>
          <w:lang w:val="sv-SE"/>
        </w:rPr>
        <w:t xml:space="preserve"> </w:t>
      </w:r>
      <w:r w:rsidR="000303BD">
        <w:rPr>
          <w:shd w:val="clear" w:color="auto" w:fill="FFFFFF"/>
          <w:lang w:val="sv-SE"/>
        </w:rPr>
        <w:t xml:space="preserve">om </w:t>
      </w:r>
      <w:r w:rsidR="001B79D5">
        <w:rPr>
          <w:shd w:val="clear" w:color="auto" w:fill="FFFFFF"/>
          <w:lang w:val="sv-SE"/>
        </w:rPr>
        <w:t xml:space="preserve">ordinarie </w:t>
      </w:r>
      <w:r w:rsidR="000303BD">
        <w:rPr>
          <w:shd w:val="clear" w:color="auto" w:fill="FFFFFF"/>
          <w:lang w:val="sv-SE"/>
        </w:rPr>
        <w:t>omställningsstöd</w:t>
      </w:r>
      <w:r>
        <w:rPr>
          <w:shd w:val="clear" w:color="auto" w:fill="FFFFFF"/>
          <w:lang w:val="sv-SE"/>
        </w:rPr>
        <w:t xml:space="preserve"> (FOM), </w:t>
      </w:r>
      <w:r w:rsidRPr="00B43BCA">
        <w:rPr>
          <w:shd w:val="clear" w:color="auto" w:fill="FFFFFF"/>
          <w:lang w:val="sv-SE"/>
        </w:rPr>
        <w:t>inklusive</w:t>
      </w:r>
      <w:r w:rsidR="000303BD" w:rsidRPr="00B43BCA">
        <w:rPr>
          <w:shd w:val="clear" w:color="auto" w:fill="FFFFFF"/>
          <w:lang w:val="sv-SE"/>
        </w:rPr>
        <w:t xml:space="preserve"> förordningsmotiv (FM 2020:8),</w:t>
      </w:r>
      <w:r w:rsidR="000303BD">
        <w:rPr>
          <w:shd w:val="clear" w:color="auto" w:fill="FFFFFF"/>
          <w:lang w:val="sv-SE"/>
        </w:rPr>
        <w:t xml:space="preserve"> Lag om omställningsstöd (SFS 2020:548) samt Skatteverkets rättsliga vägledningar. Dessa vägledningar uppdateras löpande varför revisorn bör kontrollera aktuell information på Skatteverkets hemsida.</w:t>
      </w:r>
    </w:p>
    <w:p w14:paraId="10E82F8C" w14:textId="62781E6C" w:rsidR="005F4B9D" w:rsidRDefault="005F4B9D" w:rsidP="00800724">
      <w:pPr>
        <w:rPr>
          <w:shd w:val="clear" w:color="auto" w:fill="FFFFFF"/>
          <w:lang w:val="sv-SE"/>
        </w:rPr>
      </w:pPr>
      <w:r>
        <w:rPr>
          <w:shd w:val="clear" w:color="auto" w:fill="FFFFFF"/>
          <w:lang w:val="sv-SE"/>
        </w:rPr>
        <w:t>Omställnings</w:t>
      </w:r>
      <w:r w:rsidR="00AC5910">
        <w:rPr>
          <w:shd w:val="clear" w:color="auto" w:fill="FFFFFF"/>
          <w:lang w:val="sv-SE"/>
        </w:rPr>
        <w:t xml:space="preserve">stöd ges med </w:t>
      </w:r>
      <w:r w:rsidR="006038FF">
        <w:rPr>
          <w:shd w:val="clear" w:color="auto" w:fill="FFFFFF"/>
          <w:lang w:val="sv-SE"/>
        </w:rPr>
        <w:t>ett belopp som motsvarar de fasta kostnaderna för stödperioden reducerade med stödperiodens täckningsbidrag, multiplicerat med 70 %</w:t>
      </w:r>
      <w:r w:rsidR="4E2F961B">
        <w:rPr>
          <w:shd w:val="clear" w:color="auto" w:fill="FFFFFF"/>
          <w:lang w:val="sv-SE"/>
        </w:rPr>
        <w:t>*)</w:t>
      </w:r>
      <w:r w:rsidR="00C2668D">
        <w:rPr>
          <w:shd w:val="clear" w:color="auto" w:fill="FFFFFF"/>
          <w:lang w:val="sv-SE"/>
        </w:rPr>
        <w:t>. Beräkningsformeln ser sålunda ut som följer;</w:t>
      </w:r>
    </w:p>
    <w:p w14:paraId="4435F623" w14:textId="234FBB59" w:rsidR="00C2668D" w:rsidRDefault="00A968CC" w:rsidP="00800724">
      <w:pPr>
        <w:rPr>
          <w:shd w:val="clear" w:color="auto" w:fill="FFFFFF"/>
          <w:lang w:val="sv-SE"/>
        </w:rPr>
      </w:pPr>
      <w:r>
        <w:rPr>
          <w:shd w:val="clear" w:color="auto" w:fill="FFFFFF"/>
          <w:lang w:val="sv-SE"/>
        </w:rPr>
        <w:t>(Summa fasta kostnader för stödperioden - stödperiodens täckningsbidrag</w:t>
      </w:r>
      <w:r w:rsidR="002E7CD7">
        <w:rPr>
          <w:shd w:val="clear" w:color="auto" w:fill="FFFFFF"/>
          <w:lang w:val="sv-SE"/>
        </w:rPr>
        <w:t>)</w:t>
      </w:r>
      <w:r>
        <w:rPr>
          <w:shd w:val="clear" w:color="auto" w:fill="FFFFFF"/>
          <w:lang w:val="sv-SE"/>
        </w:rPr>
        <w:t xml:space="preserve"> </w:t>
      </w:r>
      <w:r w:rsidR="002E7CD7">
        <w:rPr>
          <w:shd w:val="clear" w:color="auto" w:fill="FFFFFF"/>
          <w:lang w:val="sv-SE"/>
        </w:rPr>
        <w:t>x 0,7</w:t>
      </w:r>
    </w:p>
    <w:p w14:paraId="5154BA24" w14:textId="0978708A" w:rsidR="3759C6B8" w:rsidRDefault="3759C6B8" w:rsidP="539AD5F4">
      <w:pPr>
        <w:rPr>
          <w:lang w:val="sv-SE"/>
        </w:rPr>
      </w:pPr>
      <w:r w:rsidRPr="539AD5F4">
        <w:rPr>
          <w:lang w:val="sv-SE"/>
        </w:rPr>
        <w:t xml:space="preserve">*) </w:t>
      </w:r>
      <w:r w:rsidR="47E30B48" w:rsidRPr="539AD5F4">
        <w:rPr>
          <w:lang w:val="sv-SE"/>
        </w:rPr>
        <w:t xml:space="preserve">Om företaget tillhör kategorin “små företag”, som definieras avse företag med </w:t>
      </w:r>
      <w:r w:rsidR="067D3BBE" w:rsidRPr="539AD5F4">
        <w:rPr>
          <w:lang w:val="sv-SE"/>
        </w:rPr>
        <w:t>färre än 50 anställda och nettoomsättning eller balansomslutning under 10 miljoner EUR</w:t>
      </w:r>
      <w:r w:rsidR="56F98840" w:rsidRPr="539AD5F4">
        <w:rPr>
          <w:lang w:val="sv-SE"/>
        </w:rPr>
        <w:t xml:space="preserve"> (räkenskapsår som avslutas </w:t>
      </w:r>
      <w:r w:rsidR="56F98840" w:rsidRPr="00283C54">
        <w:rPr>
          <w:lang w:val="sv-SE"/>
        </w:rPr>
        <w:t xml:space="preserve">närmast före den 1 maj 2020) </w:t>
      </w:r>
      <w:r w:rsidR="69AE80E5" w:rsidRPr="00283C54">
        <w:rPr>
          <w:lang w:val="sv-SE"/>
        </w:rPr>
        <w:t xml:space="preserve">multipliceras </w:t>
      </w:r>
      <w:r w:rsidR="693C33DD" w:rsidRPr="00283C54">
        <w:rPr>
          <w:lang w:val="sv-SE"/>
        </w:rPr>
        <w:t xml:space="preserve">istället </w:t>
      </w:r>
      <w:r w:rsidR="69AE80E5" w:rsidRPr="00283C54">
        <w:rPr>
          <w:lang w:val="sv-SE"/>
        </w:rPr>
        <w:t xml:space="preserve">med </w:t>
      </w:r>
      <w:r w:rsidR="00FD0AA0">
        <w:rPr>
          <w:lang w:val="sv-SE"/>
        </w:rPr>
        <w:t>90</w:t>
      </w:r>
      <w:r w:rsidR="69AE80E5" w:rsidRPr="00283C54">
        <w:rPr>
          <w:lang w:val="sv-SE"/>
        </w:rPr>
        <w:t>%</w:t>
      </w:r>
      <w:r w:rsidR="00447298">
        <w:rPr>
          <w:lang w:val="sv-SE"/>
        </w:rPr>
        <w:t>.</w:t>
      </w:r>
    </w:p>
    <w:p w14:paraId="4A8798BA" w14:textId="65183E80" w:rsidR="00643CB2" w:rsidRDefault="00733CB4" w:rsidP="00800724">
      <w:pPr>
        <w:rPr>
          <w:shd w:val="clear" w:color="auto" w:fill="FFFFFF"/>
          <w:lang w:val="sv-SE"/>
        </w:rPr>
      </w:pPr>
      <w:r>
        <w:rPr>
          <w:shd w:val="clear" w:color="auto" w:fill="FFFFFF"/>
          <w:lang w:val="sv-SE"/>
        </w:rPr>
        <w:t>Täckningsbidraget beräknas enligt formeln;</w:t>
      </w:r>
    </w:p>
    <w:p w14:paraId="6E229741" w14:textId="3DD59867" w:rsidR="00733CB4" w:rsidRDefault="00BA4133" w:rsidP="00800724">
      <w:pPr>
        <w:rPr>
          <w:shd w:val="clear" w:color="auto" w:fill="FFFFFF"/>
          <w:lang w:val="sv-SE"/>
        </w:rPr>
      </w:pPr>
      <w:r>
        <w:rPr>
          <w:shd w:val="clear" w:color="auto" w:fill="FFFFFF"/>
          <w:lang w:val="sv-SE"/>
        </w:rPr>
        <w:t>Periodens n</w:t>
      </w:r>
      <w:r w:rsidR="00733CB4">
        <w:rPr>
          <w:shd w:val="clear" w:color="auto" w:fill="FFFFFF"/>
          <w:lang w:val="sv-SE"/>
        </w:rPr>
        <w:t>ettoomsättning</w:t>
      </w:r>
      <w:r w:rsidR="00222306">
        <w:rPr>
          <w:shd w:val="clear" w:color="auto" w:fill="FFFFFF"/>
          <w:lang w:val="sv-SE"/>
        </w:rPr>
        <w:t xml:space="preserve"> minskat med</w:t>
      </w:r>
    </w:p>
    <w:p w14:paraId="7C90D41C" w14:textId="6078AF16" w:rsidR="004D3991" w:rsidRPr="004D3991" w:rsidRDefault="00222306" w:rsidP="539AD5F4">
      <w:pPr>
        <w:rPr>
          <w:shd w:val="clear" w:color="auto" w:fill="FFFFFF"/>
          <w:lang w:val="sv-SE"/>
        </w:rPr>
      </w:pPr>
      <w:r>
        <w:rPr>
          <w:shd w:val="clear" w:color="auto" w:fill="FFFFFF"/>
          <w:lang w:val="sv-SE"/>
        </w:rPr>
        <w:t>- periodens kostnader för handelsvaror, legoarbeten</w:t>
      </w:r>
      <w:r w:rsidR="00F5658E">
        <w:rPr>
          <w:shd w:val="clear" w:color="auto" w:fill="FFFFFF"/>
          <w:lang w:val="sv-SE"/>
        </w:rPr>
        <w:t xml:space="preserve">, </w:t>
      </w:r>
      <w:r>
        <w:rPr>
          <w:shd w:val="clear" w:color="auto" w:fill="FFFFFF"/>
          <w:lang w:val="sv-SE"/>
        </w:rPr>
        <w:t>underentreprenader och</w:t>
      </w:r>
      <w:r w:rsidR="00F5658E">
        <w:rPr>
          <w:shd w:val="clear" w:color="auto" w:fill="FFFFFF"/>
          <w:lang w:val="sv-SE"/>
        </w:rPr>
        <w:t xml:space="preserve"> försäljningsprovisioner</w:t>
      </w:r>
      <w:r w:rsidR="007B0D21">
        <w:rPr>
          <w:rStyle w:val="Fotnotsreferens"/>
          <w:shd w:val="clear" w:color="auto" w:fill="FFFFFF"/>
          <w:lang w:val="sv-SE"/>
        </w:rPr>
        <w:footnoteReference w:id="2"/>
      </w:r>
      <w:r w:rsidR="00F5658E">
        <w:rPr>
          <w:shd w:val="clear" w:color="auto" w:fill="FFFFFF"/>
          <w:lang w:val="sv-SE"/>
        </w:rPr>
        <w:t>, och</w:t>
      </w:r>
    </w:p>
    <w:p w14:paraId="44805EEB" w14:textId="52B2B46B" w:rsidR="3C458B01" w:rsidRDefault="3C458B01" w:rsidP="539AD5F4">
      <w:pPr>
        <w:rPr>
          <w:lang w:val="sv-SE"/>
        </w:rPr>
      </w:pPr>
      <w:r w:rsidRPr="539AD5F4">
        <w:rPr>
          <w:lang w:val="sv-SE"/>
        </w:rPr>
        <w:t xml:space="preserve">- periodens inköp av råvaror och förnödenheter, </w:t>
      </w:r>
      <w:r w:rsidR="004D3991">
        <w:rPr>
          <w:lang w:val="sv-SE"/>
        </w:rPr>
        <w:t>och</w:t>
      </w:r>
    </w:p>
    <w:p w14:paraId="1519C738" w14:textId="21696185" w:rsidR="00222306" w:rsidRDefault="0006093E" w:rsidP="00800724">
      <w:pPr>
        <w:rPr>
          <w:shd w:val="clear" w:color="auto" w:fill="FFFFFF"/>
          <w:lang w:val="sv-SE"/>
        </w:rPr>
      </w:pPr>
      <w:r>
        <w:rPr>
          <w:shd w:val="clear" w:color="auto" w:fill="FFFFFF"/>
          <w:lang w:val="sv-SE"/>
        </w:rPr>
        <w:t>- periodens lagerförändring (avseende råvaror och förnödenheter, produkter i arbete och färdiga egentillverkade varor och pågående arbete för annans räkning).</w:t>
      </w:r>
    </w:p>
    <w:p w14:paraId="77C87071" w14:textId="1B5FD8D4" w:rsidR="007559E3" w:rsidRDefault="007559E3" w:rsidP="00800724">
      <w:pPr>
        <w:rPr>
          <w:shd w:val="clear" w:color="auto" w:fill="FFFFFF"/>
          <w:lang w:val="sv-SE"/>
        </w:rPr>
      </w:pPr>
      <w:r>
        <w:rPr>
          <w:shd w:val="clear" w:color="auto" w:fill="FFFFFF"/>
          <w:lang w:val="sv-SE"/>
        </w:rPr>
        <w:t xml:space="preserve">Om täckningsbidraget vid </w:t>
      </w:r>
      <w:r w:rsidR="00D02AED">
        <w:rPr>
          <w:shd w:val="clear" w:color="auto" w:fill="FFFFFF"/>
          <w:lang w:val="sv-SE"/>
        </w:rPr>
        <w:t xml:space="preserve">beräkningen uppgår till ett negativt belopp ska täckningsbidraget för perioden anses vara noll kronor. </w:t>
      </w:r>
    </w:p>
    <w:p w14:paraId="4C739C00" w14:textId="7BACDBD8" w:rsidR="00800724" w:rsidRPr="0054565D" w:rsidRDefault="00800724" w:rsidP="00800724">
      <w:pPr>
        <w:rPr>
          <w:lang w:val="sv-SE"/>
        </w:rPr>
      </w:pPr>
      <w:r w:rsidRPr="006475A0">
        <w:rPr>
          <w:lang w:val="sv-SE"/>
        </w:rPr>
        <w:t xml:space="preserve">För att ett företag ska kvalificera sig för omställningsstöd </w:t>
      </w:r>
      <w:r w:rsidR="00FE118B" w:rsidRPr="006475A0">
        <w:rPr>
          <w:lang w:val="sv-SE"/>
        </w:rPr>
        <w:t>för stödperiode</w:t>
      </w:r>
      <w:r w:rsidR="00C97230" w:rsidRPr="006475A0">
        <w:rPr>
          <w:lang w:val="sv-SE"/>
        </w:rPr>
        <w:t>rna</w:t>
      </w:r>
      <w:r w:rsidR="00E25CF5" w:rsidRPr="006475A0">
        <w:rPr>
          <w:lang w:val="sv-SE"/>
        </w:rPr>
        <w:t xml:space="preserve"> december</w:t>
      </w:r>
      <w:r w:rsidR="007C3234" w:rsidRPr="006475A0">
        <w:rPr>
          <w:lang w:val="sv-SE"/>
        </w:rPr>
        <w:t xml:space="preserve"> 2021, </w:t>
      </w:r>
      <w:r w:rsidR="00377DA0" w:rsidRPr="006475A0">
        <w:rPr>
          <w:lang w:val="sv-SE"/>
        </w:rPr>
        <w:t>j</w:t>
      </w:r>
      <w:r w:rsidR="00E25CF5" w:rsidRPr="006475A0">
        <w:rPr>
          <w:lang w:val="sv-SE"/>
        </w:rPr>
        <w:t xml:space="preserve">anuari </w:t>
      </w:r>
      <w:r w:rsidR="00377DA0" w:rsidRPr="006475A0">
        <w:rPr>
          <w:lang w:val="sv-SE"/>
        </w:rPr>
        <w:t>202</w:t>
      </w:r>
      <w:r w:rsidR="00E25CF5" w:rsidRPr="006475A0">
        <w:rPr>
          <w:lang w:val="sv-SE"/>
        </w:rPr>
        <w:t>2</w:t>
      </w:r>
      <w:r w:rsidR="004C5761" w:rsidRPr="006475A0">
        <w:rPr>
          <w:lang w:val="sv-SE"/>
        </w:rPr>
        <w:t xml:space="preserve"> </w:t>
      </w:r>
      <w:r w:rsidR="00C97230" w:rsidRPr="006475A0">
        <w:rPr>
          <w:lang w:val="sv-SE"/>
        </w:rPr>
        <w:t xml:space="preserve">och </w:t>
      </w:r>
      <w:r w:rsidR="00E25CF5" w:rsidRPr="006475A0">
        <w:rPr>
          <w:lang w:val="sv-SE"/>
        </w:rPr>
        <w:t xml:space="preserve">februari </w:t>
      </w:r>
      <w:r w:rsidR="00165CF8" w:rsidRPr="006475A0">
        <w:rPr>
          <w:lang w:val="sv-SE"/>
        </w:rPr>
        <w:t>202</w:t>
      </w:r>
      <w:r w:rsidR="00E25CF5" w:rsidRPr="006475A0">
        <w:rPr>
          <w:lang w:val="sv-SE"/>
        </w:rPr>
        <w:t>2</w:t>
      </w:r>
      <w:r w:rsidR="00C97230">
        <w:rPr>
          <w:lang w:val="sv-SE"/>
        </w:rPr>
        <w:t xml:space="preserve"> </w:t>
      </w:r>
      <w:r w:rsidRPr="539AD5F4">
        <w:rPr>
          <w:lang w:val="sv-SE"/>
        </w:rPr>
        <w:t>ska företaget</w:t>
      </w:r>
      <w:r w:rsidR="00747C46" w:rsidRPr="539AD5F4">
        <w:rPr>
          <w:lang w:val="sv-SE"/>
        </w:rPr>
        <w:t>s</w:t>
      </w:r>
      <w:r w:rsidRPr="539AD5F4">
        <w:rPr>
          <w:lang w:val="sv-SE"/>
        </w:rPr>
        <w:t xml:space="preserve"> sammanlagda nettoomsättning för </w:t>
      </w:r>
      <w:r w:rsidR="004C5761" w:rsidRPr="539AD5F4">
        <w:rPr>
          <w:lang w:val="sv-SE"/>
        </w:rPr>
        <w:t xml:space="preserve">stödperioden </w:t>
      </w:r>
      <w:r w:rsidRPr="539AD5F4">
        <w:rPr>
          <w:lang w:val="sv-SE"/>
        </w:rPr>
        <w:t xml:space="preserve">ha minskat med </w:t>
      </w:r>
      <w:r w:rsidRPr="539AD5F4">
        <w:rPr>
          <w:u w:val="single"/>
          <w:lang w:val="sv-SE"/>
        </w:rPr>
        <w:t>mer</w:t>
      </w:r>
      <w:r w:rsidRPr="539AD5F4">
        <w:rPr>
          <w:lang w:val="sv-SE"/>
        </w:rPr>
        <w:t xml:space="preserve"> än </w:t>
      </w:r>
      <w:r w:rsidR="00377DA0">
        <w:rPr>
          <w:lang w:val="sv-SE"/>
        </w:rPr>
        <w:t>3</w:t>
      </w:r>
      <w:r w:rsidRPr="539AD5F4">
        <w:rPr>
          <w:lang w:val="sv-SE"/>
        </w:rPr>
        <w:t xml:space="preserve">0 procent i jämförelse med </w:t>
      </w:r>
      <w:r w:rsidR="00545EB9" w:rsidRPr="539AD5F4">
        <w:rPr>
          <w:lang w:val="sv-SE"/>
        </w:rPr>
        <w:t>referensperioden</w:t>
      </w:r>
      <w:r w:rsidRPr="539AD5F4">
        <w:rPr>
          <w:lang w:val="sv-SE"/>
        </w:rPr>
        <w:t xml:space="preserve"> 2019. Det innebär exempelvis att nystartade företag som inte har haft någon omsättning under </w:t>
      </w:r>
      <w:r w:rsidR="002649B8" w:rsidRPr="539AD5F4">
        <w:rPr>
          <w:lang w:val="sv-SE"/>
        </w:rPr>
        <w:t>referens</w:t>
      </w:r>
      <w:r w:rsidRPr="539AD5F4">
        <w:rPr>
          <w:lang w:val="sv-SE"/>
        </w:rPr>
        <w:t xml:space="preserve">perioden inte kommer att kunna kvalificera sig för stödet. Det samma gäller säsongsföretag som inte har någon omsättning under </w:t>
      </w:r>
      <w:r w:rsidR="002649B8" w:rsidRPr="539AD5F4">
        <w:rPr>
          <w:lang w:val="sv-SE"/>
        </w:rPr>
        <w:t>stödperioden</w:t>
      </w:r>
      <w:r w:rsidRPr="539AD5F4">
        <w:rPr>
          <w:lang w:val="sv-SE"/>
        </w:rPr>
        <w:t>.</w:t>
      </w:r>
    </w:p>
    <w:p w14:paraId="0A349102" w14:textId="586B592F" w:rsidR="00800724" w:rsidRPr="0054565D" w:rsidRDefault="00800724" w:rsidP="00800724">
      <w:pPr>
        <w:rPr>
          <w:lang w:val="sv-SE"/>
        </w:rPr>
      </w:pPr>
      <w:r w:rsidRPr="0054565D">
        <w:rPr>
          <w:lang w:val="sv-SE"/>
        </w:rPr>
        <w:t xml:space="preserve">Den minskade nettoomsättningen för </w:t>
      </w:r>
      <w:r w:rsidR="00F31C14">
        <w:rPr>
          <w:lang w:val="sv-SE"/>
        </w:rPr>
        <w:t>respektive stödperiod</w:t>
      </w:r>
      <w:r w:rsidRPr="0054565D">
        <w:rPr>
          <w:lang w:val="sv-SE"/>
        </w:rPr>
        <w:t xml:space="preserve"> jämfört med </w:t>
      </w:r>
      <w:r w:rsidR="00F31C14">
        <w:rPr>
          <w:lang w:val="sv-SE"/>
        </w:rPr>
        <w:t>respektive referensperiod</w:t>
      </w:r>
      <w:r w:rsidRPr="0054565D">
        <w:rPr>
          <w:lang w:val="sv-SE"/>
        </w:rPr>
        <w:t xml:space="preserve"> ska så gott som uteslutande bero på effekterna av spridningen av </w:t>
      </w:r>
      <w:r w:rsidR="00D460ED">
        <w:rPr>
          <w:lang w:val="sv-SE"/>
        </w:rPr>
        <w:t>C</w:t>
      </w:r>
      <w:r w:rsidRPr="0054565D">
        <w:rPr>
          <w:lang w:val="sv-SE"/>
        </w:rPr>
        <w:t xml:space="preserve">orona. </w:t>
      </w:r>
    </w:p>
    <w:p w14:paraId="1DABA783" w14:textId="41EF0259" w:rsidR="00800724" w:rsidRPr="0054565D" w:rsidRDefault="0005015C" w:rsidP="00800724">
      <w:pPr>
        <w:rPr>
          <w:shd w:val="clear" w:color="auto" w:fill="FFFFFF"/>
          <w:lang w:val="sv-SE"/>
        </w:rPr>
      </w:pPr>
      <w:r w:rsidRPr="0054565D">
        <w:rPr>
          <w:shd w:val="clear" w:color="auto" w:fill="FFFFFF"/>
          <w:lang w:val="sv-SE"/>
        </w:rPr>
        <w:t>Ytterligare e</w:t>
      </w:r>
      <w:r w:rsidR="00800724" w:rsidRPr="0054565D">
        <w:rPr>
          <w:shd w:val="clear" w:color="auto" w:fill="FFFFFF"/>
          <w:lang w:val="sv-SE"/>
        </w:rPr>
        <w:t xml:space="preserve">tt villkor för att ett företag ska ha rätt till omställningsstöd är att företaget under perioden </w:t>
      </w:r>
      <w:r w:rsidR="00372A6F">
        <w:rPr>
          <w:shd w:val="clear" w:color="auto" w:fill="FFFFFF"/>
          <w:lang w:val="sv-SE"/>
        </w:rPr>
        <w:t>april</w:t>
      </w:r>
      <w:r w:rsidR="00372A6F" w:rsidRPr="0054565D">
        <w:rPr>
          <w:shd w:val="clear" w:color="auto" w:fill="FFFFFF"/>
          <w:lang w:val="sv-SE"/>
        </w:rPr>
        <w:t xml:space="preserve"> </w:t>
      </w:r>
      <w:r w:rsidR="00800724" w:rsidRPr="0054565D">
        <w:rPr>
          <w:shd w:val="clear" w:color="auto" w:fill="FFFFFF"/>
          <w:lang w:val="sv-SE"/>
        </w:rPr>
        <w:t>2020</w:t>
      </w:r>
      <w:r w:rsidR="368B70C3" w:rsidRPr="0054565D">
        <w:rPr>
          <w:shd w:val="clear" w:color="auto" w:fill="FFFFFF"/>
          <w:lang w:val="sv-SE"/>
        </w:rPr>
        <w:t xml:space="preserve"> </w:t>
      </w:r>
      <w:r w:rsidR="00800724" w:rsidRPr="0054565D">
        <w:rPr>
          <w:shd w:val="clear" w:color="auto" w:fill="FFFFFF"/>
          <w:lang w:val="sv-SE"/>
        </w:rPr>
        <w:t>–</w:t>
      </w:r>
      <w:r w:rsidR="1376649B" w:rsidRPr="0054565D">
        <w:rPr>
          <w:shd w:val="clear" w:color="auto" w:fill="FFFFFF"/>
          <w:lang w:val="sv-SE"/>
        </w:rPr>
        <w:t xml:space="preserve"> </w:t>
      </w:r>
      <w:r w:rsidR="00BD59B5">
        <w:rPr>
          <w:shd w:val="clear" w:color="auto" w:fill="FFFFFF"/>
          <w:lang w:val="sv-SE"/>
        </w:rPr>
        <w:t>juli 2022</w:t>
      </w:r>
      <w:r w:rsidR="00800724" w:rsidRPr="0054565D">
        <w:rPr>
          <w:shd w:val="clear" w:color="auto" w:fill="FFFFFF"/>
          <w:lang w:val="sv-SE"/>
        </w:rPr>
        <w:t xml:space="preserve"> inte verkställer</w:t>
      </w:r>
      <w:r w:rsidR="003A31F2">
        <w:rPr>
          <w:rStyle w:val="Fotnotsreferens"/>
          <w:shd w:val="clear" w:color="auto" w:fill="FFFFFF"/>
          <w:lang w:val="sv-SE"/>
        </w:rPr>
        <w:footnoteReference w:id="3"/>
      </w:r>
      <w:r w:rsidR="00800724" w:rsidRPr="0054565D">
        <w:rPr>
          <w:shd w:val="clear" w:color="auto" w:fill="FFFFFF"/>
          <w:lang w:val="sv-SE"/>
        </w:rPr>
        <w:t xml:space="preserve"> ett beslut om vissa värdeöverföringar, och att ett sådant beslut inte heller fattas av företagets stämma, styrelse eller motsvarande organ under denna period</w:t>
      </w:r>
      <w:r w:rsidR="00862C96" w:rsidRPr="0054565D">
        <w:rPr>
          <w:shd w:val="clear" w:color="auto" w:fill="FFFFFF"/>
          <w:lang w:val="sv-SE"/>
        </w:rPr>
        <w:t>.</w:t>
      </w:r>
    </w:p>
    <w:p w14:paraId="5D45FF64" w14:textId="77777777" w:rsidR="00800724" w:rsidRPr="004A0E22" w:rsidRDefault="00800724" w:rsidP="00B54D0D">
      <w:pPr>
        <w:spacing w:after="0"/>
        <w:rPr>
          <w:i/>
          <w:lang w:val="sv-SE"/>
        </w:rPr>
      </w:pPr>
      <w:r w:rsidRPr="004A0E22">
        <w:rPr>
          <w:i/>
          <w:lang w:val="sv-SE"/>
        </w:rPr>
        <w:lastRenderedPageBreak/>
        <w:t>Vilka typer av värdeöverföringar avses?</w:t>
      </w:r>
    </w:p>
    <w:p w14:paraId="61637F03" w14:textId="26F943A1" w:rsidR="00800724" w:rsidRPr="0054565D" w:rsidRDefault="00800724" w:rsidP="00DC4E87">
      <w:pPr>
        <w:spacing w:after="0"/>
      </w:pPr>
      <w:r w:rsidRPr="0054565D">
        <w:rPr>
          <w:lang w:val="sv-SE"/>
        </w:rPr>
        <w:t>Av förordningsmotiven till Förordningen om omställnings</w:t>
      </w:r>
      <w:r w:rsidR="00836473">
        <w:rPr>
          <w:lang w:val="sv-SE"/>
        </w:rPr>
        <w:t>stöd</w:t>
      </w:r>
      <w:r w:rsidRPr="0054565D">
        <w:rPr>
          <w:lang w:val="sv-SE"/>
        </w:rPr>
        <w:t xml:space="preserve"> </w:t>
      </w:r>
      <w:r w:rsidRPr="00372A6F">
        <w:rPr>
          <w:lang w:val="sv-SE"/>
        </w:rPr>
        <w:t>(FOM)</w:t>
      </w:r>
      <w:r w:rsidRPr="0054565D">
        <w:rPr>
          <w:lang w:val="sv-SE"/>
        </w:rPr>
        <w:t xml:space="preserve"> framgår att de transaktioner som villkoret avser är de typer av värdeöverföringar som regleras i 18–20 kap. </w:t>
      </w:r>
      <w:r w:rsidRPr="0054565D">
        <w:t>ABL och 13–15 kap. EFL:</w:t>
      </w:r>
    </w:p>
    <w:p w14:paraId="410C6E35" w14:textId="77777777" w:rsidR="00800724" w:rsidRPr="0054565D" w:rsidRDefault="00800724" w:rsidP="00800724">
      <w:pPr>
        <w:pStyle w:val="Liststycke"/>
        <w:numPr>
          <w:ilvl w:val="0"/>
          <w:numId w:val="8"/>
        </w:numPr>
      </w:pPr>
      <w:r w:rsidRPr="0054565D">
        <w:t xml:space="preserve">vinstutdelning enligt 18 kap ABL </w:t>
      </w:r>
    </w:p>
    <w:p w14:paraId="14ECB21C" w14:textId="77777777" w:rsidR="00800724" w:rsidRPr="0054565D" w:rsidRDefault="00800724" w:rsidP="00800724">
      <w:pPr>
        <w:pStyle w:val="Liststycke"/>
        <w:numPr>
          <w:ilvl w:val="0"/>
          <w:numId w:val="8"/>
        </w:numPr>
      </w:pPr>
      <w:r w:rsidRPr="0054565D">
        <w:rPr>
          <w:lang w:val="sv-SE"/>
        </w:rPr>
        <w:t xml:space="preserve">förvärv av egna aktier m.m. enligt 19 kap. </w:t>
      </w:r>
      <w:r w:rsidRPr="0054565D">
        <w:t>ABL</w:t>
      </w:r>
    </w:p>
    <w:p w14:paraId="5779A141" w14:textId="0DACDE1F" w:rsidR="00800724" w:rsidRPr="0054565D" w:rsidRDefault="00800724" w:rsidP="00800724">
      <w:pPr>
        <w:pStyle w:val="Liststycke"/>
        <w:numPr>
          <w:ilvl w:val="0"/>
          <w:numId w:val="8"/>
        </w:numPr>
      </w:pPr>
      <w:r w:rsidRPr="0054565D">
        <w:rPr>
          <w:lang w:val="sv-SE"/>
        </w:rPr>
        <w:t>minskning av aktiekapitalet</w:t>
      </w:r>
      <w:r w:rsidR="00D460ED">
        <w:rPr>
          <w:lang w:val="sv-SE"/>
        </w:rPr>
        <w:t xml:space="preserve">, den bundna överkursfonden eller </w:t>
      </w:r>
      <w:r w:rsidRPr="0054565D">
        <w:rPr>
          <w:lang w:val="sv-SE"/>
        </w:rPr>
        <w:t xml:space="preserve">reservfonden för återbetalning till aktieägarna enligt 20 kap. </w:t>
      </w:r>
      <w:r w:rsidRPr="0054565D">
        <w:t xml:space="preserve">ABL </w:t>
      </w:r>
    </w:p>
    <w:p w14:paraId="702C2695" w14:textId="77777777" w:rsidR="00800724" w:rsidRPr="0054565D" w:rsidRDefault="00800724" w:rsidP="00800724">
      <w:pPr>
        <w:pStyle w:val="Liststycke"/>
        <w:numPr>
          <w:ilvl w:val="0"/>
          <w:numId w:val="8"/>
        </w:numPr>
      </w:pPr>
      <w:r w:rsidRPr="0054565D">
        <w:t xml:space="preserve">vinstutdelning enligt 13 kap. EFL </w:t>
      </w:r>
    </w:p>
    <w:p w14:paraId="68D11883" w14:textId="77777777" w:rsidR="00800724" w:rsidRPr="0054565D" w:rsidRDefault="00800724" w:rsidP="00800724">
      <w:pPr>
        <w:pStyle w:val="Liststycke"/>
        <w:numPr>
          <w:ilvl w:val="0"/>
          <w:numId w:val="8"/>
        </w:numPr>
      </w:pPr>
      <w:r w:rsidRPr="0054565D">
        <w:t xml:space="preserve">gottgörelse enligt 14 kap EFL </w:t>
      </w:r>
    </w:p>
    <w:p w14:paraId="38A6597E" w14:textId="16A174DF" w:rsidR="00800724" w:rsidRPr="0054565D" w:rsidRDefault="00800724" w:rsidP="00800724">
      <w:pPr>
        <w:pStyle w:val="Liststycke"/>
        <w:numPr>
          <w:ilvl w:val="0"/>
          <w:numId w:val="8"/>
        </w:numPr>
      </w:pPr>
      <w:r w:rsidRPr="0054565D">
        <w:rPr>
          <w:lang w:val="sv-SE"/>
        </w:rPr>
        <w:t xml:space="preserve">minskning av reservfonden för återbetalning till medlemmarna enligt 15 kap. </w:t>
      </w:r>
      <w:r w:rsidRPr="0054565D">
        <w:t>EFL.</w:t>
      </w:r>
    </w:p>
    <w:p w14:paraId="60C412EF" w14:textId="77777777" w:rsidR="00800724" w:rsidRPr="0054565D" w:rsidRDefault="00800724" w:rsidP="00800724">
      <w:pPr>
        <w:rPr>
          <w:lang w:val="sv-SE"/>
        </w:rPr>
      </w:pPr>
      <w:r w:rsidRPr="0054565D">
        <w:rPr>
          <w:lang w:val="sv-SE"/>
        </w:rPr>
        <w:t>Om företaget beslutar om eller verkställer en utdelning för att återbetala ett villkorat aktieägartillskott är det en sådan värdeöverföring som innebär att företaget inte har rätt till omställningsstöd. Bedömningen när det gäller rätten till omställningsstöd påverkas inte av att återbetalningen skattemässigt behandlas som en återbetalning av ett lån hos mottagaren.</w:t>
      </w:r>
    </w:p>
    <w:p w14:paraId="5D1744B2" w14:textId="77777777" w:rsidR="00800724" w:rsidRPr="0054565D" w:rsidRDefault="00800724" w:rsidP="00D60C0B">
      <w:pPr>
        <w:rPr>
          <w:shd w:val="clear" w:color="auto" w:fill="FFFFFF"/>
          <w:lang w:val="sv-SE"/>
        </w:rPr>
      </w:pPr>
      <w:r w:rsidRPr="0054565D">
        <w:rPr>
          <w:shd w:val="clear" w:color="auto" w:fill="FFFFFF"/>
          <w:lang w:val="sv-SE"/>
        </w:rPr>
        <w:t>Det finns inga hinder mot att göra sådana formlösa värdeöverföringar som avses i 17 kap 1§ första stycket 4 ABL, vilket innebär att företag exempelvis kan lämna koncernbidrag samtidigt som de tar emot stöd.</w:t>
      </w:r>
    </w:p>
    <w:p w14:paraId="13776946" w14:textId="56AD6272" w:rsidR="00CE51F6" w:rsidRPr="00CE51F6" w:rsidRDefault="00800724" w:rsidP="00D60C0B">
      <w:r w:rsidRPr="005A52A3">
        <w:rPr>
          <w:shd w:val="clear" w:color="auto" w:fill="FFFFFF"/>
          <w:lang w:val="sv-SE"/>
        </w:rPr>
        <w:t>Om företaget som ansöker om omställningsstöd ingår i en koncern av sådant slag som anges i 1 kap. 4§ ÅRL gäller att inte heller de moderföretag till företaget som ingår i koncernen får göra sådana värdeöverföringar som anges ovan (</w:t>
      </w:r>
      <w:r w:rsidR="00AE7AAA">
        <w:rPr>
          <w:shd w:val="clear" w:color="auto" w:fill="FFFFFF"/>
          <w:lang w:val="sv-SE"/>
        </w:rPr>
        <w:t>6</w:t>
      </w:r>
      <w:r w:rsidRPr="005A52A3">
        <w:rPr>
          <w:shd w:val="clear" w:color="auto" w:fill="FFFFFF"/>
          <w:lang w:val="sv-SE"/>
        </w:rPr>
        <w:t xml:space="preserve"> § tredje stycket FOM). Att koncernen ska vara av sådant slag som anges i 1 kap. 4 § ÅRL innebär att även utländska koncerner omfattas om företagen upprätthåller förbindelser med varandra motsvarande vad som anges i ÅRL</w:t>
      </w:r>
      <w:r w:rsidRPr="005A52A3">
        <w:rPr>
          <w:i/>
          <w:iCs/>
          <w:shd w:val="clear" w:color="auto" w:fill="FFFFFF"/>
          <w:lang w:val="sv-SE"/>
        </w:rPr>
        <w:t>.</w:t>
      </w:r>
      <w:r w:rsidR="00645845" w:rsidRPr="005A52A3">
        <w:rPr>
          <w:i/>
          <w:iCs/>
          <w:shd w:val="clear" w:color="auto" w:fill="FFFFFF"/>
          <w:lang w:val="sv-SE"/>
        </w:rPr>
        <w:t xml:space="preserve"> </w:t>
      </w:r>
      <w:r w:rsidR="00645845" w:rsidRPr="005A52A3">
        <w:rPr>
          <w:shd w:val="clear" w:color="auto" w:fill="FFFFFF"/>
          <w:lang w:val="sv-SE"/>
        </w:rPr>
        <w:t>Vidare anges i Lag om omställningsstöd (SFS 2020:548) att ett företag inte har rätt till omställningsstöd om företaget, eller något annat företag som ingår i samma intressegemenskap, hör hemma i en stat eller jurisdiktion som är upptagen i en förteckning över stater eller jurisdiktioner utanför EU som har bedömts vara icke samarbetsvilliga på skatteområdet av EU eller OECD.</w:t>
      </w:r>
      <w:r w:rsidR="00CE51F6" w:rsidRPr="005A52A3">
        <w:rPr>
          <w:shd w:val="clear" w:color="auto" w:fill="FFFFFF"/>
          <w:lang w:val="sv-SE"/>
        </w:rPr>
        <w:t xml:space="preserve"> </w:t>
      </w:r>
      <w:r w:rsidR="00CE51F6" w:rsidRPr="005A52A3">
        <w:rPr>
          <w:lang w:val="sv-SE"/>
        </w:rPr>
        <w:t> </w:t>
      </w:r>
      <w:r w:rsidR="00CE51F6" w:rsidRPr="00CE51F6">
        <w:t>I detta avseende innebär intressegemenskap något av följande:</w:t>
      </w:r>
    </w:p>
    <w:p w14:paraId="670E6065" w14:textId="0759B757" w:rsidR="00CE51F6" w:rsidRPr="00CE51F6" w:rsidRDefault="00CE51F6" w:rsidP="00CE51F6">
      <w:pPr>
        <w:numPr>
          <w:ilvl w:val="0"/>
          <w:numId w:val="13"/>
        </w:numPr>
        <w:shd w:val="clear" w:color="auto" w:fill="FFFFFF"/>
        <w:spacing w:before="75" w:after="100" w:afterAutospacing="1" w:line="300" w:lineRule="atLeast"/>
        <w:rPr>
          <w:color w:val="121212"/>
          <w:lang w:val="sv-SE"/>
        </w:rPr>
      </w:pPr>
      <w:r w:rsidRPr="00CE51F6">
        <w:rPr>
          <w:color w:val="121212"/>
          <w:lang w:val="sv-SE"/>
        </w:rPr>
        <w:t>att företagen ingår i en koncern av sådant slag som anges i</w:t>
      </w:r>
      <w:r w:rsidRPr="005A52A3">
        <w:rPr>
          <w:lang w:val="sv-SE"/>
        </w:rPr>
        <w:t> </w:t>
      </w:r>
      <w:r w:rsidR="003672B4">
        <w:rPr>
          <w:lang w:val="sv-SE"/>
        </w:rPr>
        <w:t>1 kap 4 § ÅRL</w:t>
      </w:r>
    </w:p>
    <w:p w14:paraId="2D94E4D9" w14:textId="77777777" w:rsidR="00CE51F6" w:rsidRPr="00CE51F6" w:rsidRDefault="00CE51F6" w:rsidP="00CE51F6">
      <w:pPr>
        <w:numPr>
          <w:ilvl w:val="0"/>
          <w:numId w:val="13"/>
        </w:numPr>
        <w:shd w:val="clear" w:color="auto" w:fill="FFFFFF"/>
        <w:spacing w:before="75" w:after="100" w:afterAutospacing="1" w:line="300" w:lineRule="atLeast"/>
        <w:rPr>
          <w:color w:val="121212"/>
          <w:lang w:val="sv-SE"/>
        </w:rPr>
      </w:pPr>
      <w:r w:rsidRPr="00CE51F6">
        <w:rPr>
          <w:color w:val="121212"/>
          <w:lang w:val="sv-SE"/>
        </w:rPr>
        <w:t>att det företag som ansöker om omställningsstöd, direkt eller indirekt, innehar minst 25 procent av kapitalet eller rösterna i det andra företaget eller har rätt till minst 25 procent av vinsten i det andra företaget.</w:t>
      </w:r>
    </w:p>
    <w:p w14:paraId="5AA0ECF3" w14:textId="30F3F4B1" w:rsidR="00800724" w:rsidRPr="0054565D" w:rsidRDefault="00800724" w:rsidP="00800724">
      <w:pPr>
        <w:rPr>
          <w:lang w:val="sv-SE"/>
        </w:rPr>
      </w:pPr>
      <w:r w:rsidRPr="0054565D">
        <w:rPr>
          <w:shd w:val="clear" w:color="auto" w:fill="FFFFFF"/>
          <w:lang w:val="sv-SE"/>
        </w:rPr>
        <w:t xml:space="preserve">Omställningsstöd får inte lämnas till företag i ekonomiska svårigheter. Bedömningen om företaget har ekonomiska svårigheter göras vid två olika tidpunkter: </w:t>
      </w:r>
      <w:r w:rsidR="0053130A">
        <w:rPr>
          <w:shd w:val="clear" w:color="auto" w:fill="FFFFFF"/>
          <w:lang w:val="sv-SE"/>
        </w:rPr>
        <w:t>31 december 2019</w:t>
      </w:r>
      <w:r w:rsidR="00392846">
        <w:rPr>
          <w:shd w:val="clear" w:color="auto" w:fill="FFFFFF"/>
          <w:lang w:val="sv-SE"/>
        </w:rPr>
        <w:t xml:space="preserve"> </w:t>
      </w:r>
      <w:r w:rsidRPr="0054565D">
        <w:rPr>
          <w:shd w:val="clear" w:color="auto" w:fill="FFFFFF"/>
          <w:lang w:val="sv-SE"/>
        </w:rPr>
        <w:t>och vid prövningen av ansökan.</w:t>
      </w:r>
      <w:r w:rsidRPr="0054565D">
        <w:rPr>
          <w:lang w:val="sv-SE"/>
        </w:rPr>
        <w:t xml:space="preserve"> </w:t>
      </w:r>
    </w:p>
    <w:p w14:paraId="6AAF1E4F" w14:textId="19FEF921" w:rsidR="00800724" w:rsidRPr="0054565D" w:rsidRDefault="00800724" w:rsidP="00800724">
      <w:pPr>
        <w:rPr>
          <w:shd w:val="clear" w:color="auto" w:fill="FFFFFF"/>
          <w:lang w:val="sv-SE"/>
        </w:rPr>
      </w:pPr>
      <w:r w:rsidRPr="0054565D">
        <w:rPr>
          <w:shd w:val="clear" w:color="auto" w:fill="FFFFFF"/>
          <w:lang w:val="sv-SE"/>
        </w:rPr>
        <w:t xml:space="preserve">Detta innebär exempelvis att ett företag som den </w:t>
      </w:r>
      <w:r w:rsidR="008E5DB2">
        <w:rPr>
          <w:shd w:val="clear" w:color="auto" w:fill="FFFFFF"/>
          <w:lang w:val="sv-SE"/>
        </w:rPr>
        <w:t xml:space="preserve">31 december 2019 </w:t>
      </w:r>
      <w:r w:rsidRPr="0054565D">
        <w:rPr>
          <w:shd w:val="clear" w:color="auto" w:fill="FFFFFF"/>
          <w:lang w:val="sv-SE"/>
        </w:rPr>
        <w:t xml:space="preserve">var skyldigt att upprätta en kontrollbalansräkning kan få omställningsstöd om kontrollbalansräkningen </w:t>
      </w:r>
      <w:r w:rsidR="0064310E" w:rsidRPr="0054565D">
        <w:rPr>
          <w:shd w:val="clear" w:color="auto" w:fill="FFFFFF"/>
          <w:lang w:val="sv-SE"/>
        </w:rPr>
        <w:t xml:space="preserve">per </w:t>
      </w:r>
      <w:r w:rsidRPr="0054565D">
        <w:rPr>
          <w:shd w:val="clear" w:color="auto" w:fill="FFFFFF"/>
          <w:lang w:val="sv-SE"/>
        </w:rPr>
        <w:t>det datumet visar ett intakt kapital. Om kontrollbalansräkningen däremot visar att aktiekapitalet var förbrukat till mer än hälften på grund av ackumulerade förluster den</w:t>
      </w:r>
      <w:r w:rsidR="00392846">
        <w:rPr>
          <w:shd w:val="clear" w:color="auto" w:fill="FFFFFF"/>
          <w:lang w:val="sv-SE"/>
        </w:rPr>
        <w:t xml:space="preserve"> </w:t>
      </w:r>
      <w:r w:rsidR="007E1919">
        <w:rPr>
          <w:shd w:val="clear" w:color="auto" w:fill="FFFFFF"/>
          <w:lang w:val="sv-SE"/>
        </w:rPr>
        <w:t>31 december 2019</w:t>
      </w:r>
      <w:r w:rsidRPr="0054565D">
        <w:rPr>
          <w:shd w:val="clear" w:color="auto" w:fill="FFFFFF"/>
          <w:lang w:val="sv-SE"/>
        </w:rPr>
        <w:t>, så har företaget inte rätt till stöd även om företagets ekonomiska situation har förbättrats efter detta.</w:t>
      </w:r>
    </w:p>
    <w:p w14:paraId="5B2ABC73" w14:textId="77777777" w:rsidR="00800724" w:rsidRPr="0054565D" w:rsidRDefault="00800724" w:rsidP="00800724">
      <w:pPr>
        <w:rPr>
          <w:lang w:val="sv-SE"/>
        </w:rPr>
      </w:pPr>
      <w:r w:rsidRPr="0054565D">
        <w:rPr>
          <w:lang w:val="sv-SE"/>
        </w:rPr>
        <w:t>Omställningsstöd får inte heller lämnas om företaget vid tidpunkten för prövningen av ansökan kan anses vara på obestånd. Med obestånd menas att företaget inte kan betala sina skulder i den takt de förfaller till betalning och att det inte heller handlar om endast tillfälliga betalningssvårigheter</w:t>
      </w:r>
      <w:r w:rsidRPr="0054565D">
        <w:rPr>
          <w:color w:val="121212"/>
          <w:sz w:val="21"/>
          <w:szCs w:val="21"/>
          <w:shd w:val="clear" w:color="auto" w:fill="FFFFFF"/>
          <w:lang w:val="sv-SE"/>
        </w:rPr>
        <w:t> </w:t>
      </w:r>
    </w:p>
    <w:p w14:paraId="118C7C5E" w14:textId="158D2189" w:rsidR="00800724" w:rsidRPr="0054565D" w:rsidRDefault="00800724" w:rsidP="00800724">
      <w:pPr>
        <w:pStyle w:val="Rubrik2"/>
        <w:rPr>
          <w:lang w:val="sv-SE"/>
        </w:rPr>
      </w:pPr>
      <w:r w:rsidRPr="0054565D">
        <w:rPr>
          <w:lang w:val="sv-SE"/>
        </w:rPr>
        <w:t xml:space="preserve">Nettoomsättning </w:t>
      </w:r>
      <w:r w:rsidR="00434FE1">
        <w:rPr>
          <w:lang w:val="sv-SE"/>
        </w:rPr>
        <w:t>för referensperioden</w:t>
      </w:r>
      <w:r w:rsidRPr="0054565D">
        <w:rPr>
          <w:lang w:val="sv-SE"/>
        </w:rPr>
        <w:t xml:space="preserve"> respektive </w:t>
      </w:r>
      <w:r w:rsidR="00434FE1">
        <w:rPr>
          <w:lang w:val="sv-SE"/>
        </w:rPr>
        <w:t>stödperioden</w:t>
      </w:r>
    </w:p>
    <w:p w14:paraId="558BEDE6" w14:textId="56DB6D46" w:rsidR="00800724" w:rsidRPr="0054565D" w:rsidRDefault="00800724" w:rsidP="00800724">
      <w:pPr>
        <w:rPr>
          <w:lang w:val="sv-SE"/>
        </w:rPr>
      </w:pPr>
      <w:r w:rsidRPr="0054565D">
        <w:rPr>
          <w:lang w:val="sv-SE"/>
        </w:rPr>
        <w:t xml:space="preserve">Nettoomsättningen avser intäkter från sålda varor och tjänster som ingår i företagets normala verksamhet och ska beräknas på samma sätt som i </w:t>
      </w:r>
      <w:r w:rsidR="00674F7C">
        <w:rPr>
          <w:lang w:val="sv-SE"/>
        </w:rPr>
        <w:t>bokslutet för räkenskapsåret</w:t>
      </w:r>
      <w:r w:rsidRPr="0054565D">
        <w:rPr>
          <w:lang w:val="sv-SE"/>
        </w:rPr>
        <w:t xml:space="preserve"> som avslutades närmast före 1 </w:t>
      </w:r>
      <w:r w:rsidR="007E7055">
        <w:rPr>
          <w:lang w:val="sv-SE"/>
        </w:rPr>
        <w:t>maj</w:t>
      </w:r>
      <w:r w:rsidRPr="0054565D">
        <w:rPr>
          <w:lang w:val="sv-SE"/>
        </w:rPr>
        <w:t xml:space="preserve"> 2020. Rabatter, bonus och liknande poster ska räknas av även om de regleras långt senare. Koncerninterna intäkter ska inkluderas i nettoomsättningen även om den regleras och bokförs långt senare. Här kan transfer pricing avtal reglera hur en justering ska redovisas. </w:t>
      </w:r>
    </w:p>
    <w:p w14:paraId="743282E4" w14:textId="05BFDCFA" w:rsidR="00800724" w:rsidRPr="0054565D" w:rsidRDefault="00800724" w:rsidP="00800724">
      <w:pPr>
        <w:rPr>
          <w:lang w:val="sv-SE"/>
        </w:rPr>
      </w:pPr>
      <w:r w:rsidRPr="0054565D">
        <w:rPr>
          <w:lang w:val="sv-SE"/>
        </w:rPr>
        <w:lastRenderedPageBreak/>
        <w:t xml:space="preserve">Det är endast intäkter hänförliga till näringsverksamhet som bedrivs i Sverige som får räknas med i nettoomsättningen. </w:t>
      </w:r>
      <w:r w:rsidRPr="004A0E22">
        <w:rPr>
          <w:lang w:val="sv-SE"/>
        </w:rPr>
        <w:t>Intäkter från filialer i utlandet ingår därför normalt inte</w:t>
      </w:r>
      <w:r w:rsidRPr="0054565D">
        <w:rPr>
          <w:lang w:val="sv-SE"/>
        </w:rPr>
        <w:t xml:space="preserve"> </w:t>
      </w:r>
      <w:r w:rsidRPr="004A0E22">
        <w:rPr>
          <w:lang w:val="sv-SE"/>
        </w:rPr>
        <w:t>i nettoomsättningen</w:t>
      </w:r>
      <w:r w:rsidRPr="0054565D">
        <w:rPr>
          <w:lang w:val="sv-SE"/>
        </w:rPr>
        <w:t xml:space="preserve">. </w:t>
      </w:r>
    </w:p>
    <w:p w14:paraId="50D46C13" w14:textId="3190C93A" w:rsidR="00800724" w:rsidRDefault="00800724" w:rsidP="00800724">
      <w:pPr>
        <w:rPr>
          <w:lang w:val="sv-SE"/>
        </w:rPr>
      </w:pPr>
      <w:r w:rsidRPr="0054565D">
        <w:rPr>
          <w:lang w:val="sv-SE"/>
        </w:rPr>
        <w:t>I nettoomsättningen ingår ej intäkter som kommer från finansiella instrument eller valutahandel.</w:t>
      </w:r>
    </w:p>
    <w:p w14:paraId="0042E980" w14:textId="123E4D86" w:rsidR="00800724" w:rsidRPr="0054565D" w:rsidRDefault="00800724" w:rsidP="00800724">
      <w:pPr>
        <w:pStyle w:val="Rubrik2"/>
        <w:rPr>
          <w:lang w:val="sv-SE"/>
        </w:rPr>
      </w:pPr>
      <w:r w:rsidRPr="0054565D">
        <w:rPr>
          <w:lang w:val="sv-SE"/>
        </w:rPr>
        <w:t xml:space="preserve">Nettoomsättning för det räkenskapsår som avslutats närmast före den 1 </w:t>
      </w:r>
      <w:r w:rsidR="00E778FA">
        <w:rPr>
          <w:lang w:val="sv-SE"/>
        </w:rPr>
        <w:t>maj</w:t>
      </w:r>
      <w:r w:rsidRPr="0054565D">
        <w:rPr>
          <w:lang w:val="sv-SE"/>
        </w:rPr>
        <w:t xml:space="preserve"> 2020 </w:t>
      </w:r>
    </w:p>
    <w:p w14:paraId="60081815" w14:textId="3AFC02C7" w:rsidR="006D55F1" w:rsidRPr="0054565D" w:rsidRDefault="00C1726F" w:rsidP="00800724">
      <w:pPr>
        <w:rPr>
          <w:lang w:val="sv-SE"/>
        </w:rPr>
      </w:pPr>
      <w:r w:rsidRPr="0054565D">
        <w:rPr>
          <w:lang w:val="sv-SE"/>
        </w:rPr>
        <w:t xml:space="preserve">För att få stöd finns ett krav på att företaget måste ha haft en nettoomsättning på minst 250 000 kr </w:t>
      </w:r>
      <w:r w:rsidR="0083235C">
        <w:rPr>
          <w:lang w:val="sv-SE"/>
        </w:rPr>
        <w:t>under</w:t>
      </w:r>
      <w:r w:rsidR="00674F7C">
        <w:rPr>
          <w:lang w:val="sv-SE"/>
        </w:rPr>
        <w:t xml:space="preserve"> </w:t>
      </w:r>
      <w:r w:rsidRPr="0054565D">
        <w:rPr>
          <w:lang w:val="sv-SE"/>
        </w:rPr>
        <w:t>räkenskapsår</w:t>
      </w:r>
      <w:r w:rsidR="00342316">
        <w:rPr>
          <w:lang w:val="sv-SE"/>
        </w:rPr>
        <w:t xml:space="preserve"> som avslutats närmast före den 1 maj 2020</w:t>
      </w:r>
      <w:r w:rsidRPr="0054565D">
        <w:rPr>
          <w:lang w:val="sv-SE"/>
        </w:rPr>
        <w:t>. O</w:t>
      </w:r>
      <w:r w:rsidR="00800724" w:rsidRPr="0054565D">
        <w:rPr>
          <w:lang w:val="sv-SE"/>
        </w:rPr>
        <w:t xml:space="preserve">m </w:t>
      </w:r>
      <w:r w:rsidRPr="0054565D">
        <w:rPr>
          <w:lang w:val="sv-SE"/>
        </w:rPr>
        <w:t xml:space="preserve">det </w:t>
      </w:r>
      <w:r w:rsidR="00800724" w:rsidRPr="0054565D">
        <w:rPr>
          <w:lang w:val="sv-SE"/>
        </w:rPr>
        <w:t>räkenskapsår</w:t>
      </w:r>
      <w:r w:rsidRPr="0054565D">
        <w:rPr>
          <w:lang w:val="sv-SE"/>
        </w:rPr>
        <w:t>et var</w:t>
      </w:r>
      <w:r w:rsidR="00800724" w:rsidRPr="0054565D">
        <w:rPr>
          <w:lang w:val="sv-SE"/>
        </w:rPr>
        <w:t xml:space="preserve"> längre eller kortare än 12 månader ska proportionering ske.</w:t>
      </w:r>
      <w:r w:rsidR="006B6174">
        <w:rPr>
          <w:lang w:val="sv-SE"/>
        </w:rPr>
        <w:t xml:space="preserve"> För att justera för ett kortare eller längre räkenskapsår s</w:t>
      </w:r>
      <w:r w:rsidR="00800724" w:rsidRPr="0054565D">
        <w:rPr>
          <w:lang w:val="sv-SE"/>
        </w:rPr>
        <w:t>ka</w:t>
      </w:r>
      <w:r w:rsidR="006B6174">
        <w:rPr>
          <w:lang w:val="sv-SE"/>
        </w:rPr>
        <w:t xml:space="preserve"> företaget</w:t>
      </w:r>
      <w:r w:rsidR="00800724" w:rsidRPr="0054565D">
        <w:rPr>
          <w:lang w:val="sv-SE"/>
        </w:rPr>
        <w:t xml:space="preserve"> dela</w:t>
      </w:r>
      <w:r w:rsidR="006B6174">
        <w:rPr>
          <w:lang w:val="sv-SE"/>
        </w:rPr>
        <w:t xml:space="preserve"> antalet dagar i räkenskapsåret</w:t>
      </w:r>
      <w:r w:rsidR="00800724" w:rsidRPr="0054565D">
        <w:rPr>
          <w:lang w:val="sv-SE"/>
        </w:rPr>
        <w:t xml:space="preserve"> med 365 dagar och räkna om till 12 månader (SKV.s vägledning). Dvs ingen justering pga säsongsvariationer eller dylikt som kan ha påverkat omsättningen.</w:t>
      </w:r>
    </w:p>
    <w:p w14:paraId="232551B6" w14:textId="35B65C1C" w:rsidR="00800724" w:rsidRPr="00B54D0D" w:rsidRDefault="00800724" w:rsidP="004A0E22">
      <w:pPr>
        <w:pStyle w:val="Rubrik2"/>
        <w:rPr>
          <w:lang w:val="sv-SE"/>
        </w:rPr>
      </w:pPr>
      <w:r w:rsidRPr="00B54D0D">
        <w:rPr>
          <w:lang w:val="sv-SE"/>
        </w:rPr>
        <w:t>Fasta kostnader</w:t>
      </w:r>
    </w:p>
    <w:p w14:paraId="69BC7580" w14:textId="4BDAAFEC" w:rsidR="00800724" w:rsidRPr="0054565D" w:rsidRDefault="00800724" w:rsidP="00800724">
      <w:pPr>
        <w:rPr>
          <w:lang w:val="sv-SE"/>
        </w:rPr>
      </w:pPr>
      <w:r w:rsidRPr="539AD5F4">
        <w:rPr>
          <w:lang w:val="sv-SE"/>
        </w:rPr>
        <w:t>Vad som avses med fasta kostnader anges i 1</w:t>
      </w:r>
      <w:r w:rsidR="00180954" w:rsidRPr="539AD5F4">
        <w:rPr>
          <w:lang w:val="sv-SE"/>
        </w:rPr>
        <w:t>3</w:t>
      </w:r>
      <w:r w:rsidR="00863940" w:rsidRPr="539AD5F4">
        <w:rPr>
          <w:lang w:val="sv-SE"/>
        </w:rPr>
        <w:t xml:space="preserve"> </w:t>
      </w:r>
      <w:r w:rsidRPr="539AD5F4">
        <w:rPr>
          <w:lang w:val="sv-SE"/>
        </w:rPr>
        <w:t>§ Förordningen om</w:t>
      </w:r>
      <w:r w:rsidR="000647F6">
        <w:rPr>
          <w:lang w:val="sv-SE"/>
        </w:rPr>
        <w:t xml:space="preserve"> ordinarie</w:t>
      </w:r>
      <w:r w:rsidRPr="539AD5F4">
        <w:rPr>
          <w:lang w:val="sv-SE"/>
        </w:rPr>
        <w:t xml:space="preserve"> omställningsstöd (SFS 20</w:t>
      </w:r>
      <w:r w:rsidR="008871F1" w:rsidRPr="539AD5F4">
        <w:rPr>
          <w:lang w:val="sv-SE"/>
        </w:rPr>
        <w:t>21</w:t>
      </w:r>
      <w:r w:rsidRPr="539AD5F4">
        <w:rPr>
          <w:lang w:val="sv-SE"/>
        </w:rPr>
        <w:t>:</w:t>
      </w:r>
      <w:r w:rsidR="008871F1" w:rsidRPr="539AD5F4">
        <w:rPr>
          <w:lang w:val="sv-SE"/>
        </w:rPr>
        <w:t>126</w:t>
      </w:r>
      <w:r w:rsidRPr="539AD5F4">
        <w:rPr>
          <w:lang w:val="sv-SE"/>
        </w:rPr>
        <w:t xml:space="preserve">). </w:t>
      </w:r>
      <w:r w:rsidR="002664FD" w:rsidRPr="539AD5F4">
        <w:rPr>
          <w:lang w:val="sv-SE"/>
        </w:rPr>
        <w:t xml:space="preserve">Förordningens </w:t>
      </w:r>
      <w:r w:rsidRPr="539AD5F4">
        <w:rPr>
          <w:lang w:val="sv-SE"/>
        </w:rPr>
        <w:t xml:space="preserve">uppräkning av fasta kostnader är </w:t>
      </w:r>
      <w:r w:rsidR="008816B4" w:rsidRPr="539AD5F4">
        <w:rPr>
          <w:lang w:val="sv-SE"/>
        </w:rPr>
        <w:t>uttömmande</w:t>
      </w:r>
      <w:r w:rsidRPr="539AD5F4">
        <w:rPr>
          <w:lang w:val="sv-SE"/>
        </w:rPr>
        <w:t xml:space="preserve"> så några andra kostnader ska således inte ingå i ansökan. Periodiseringsregeln i 1</w:t>
      </w:r>
      <w:r w:rsidR="00D20D34" w:rsidRPr="539AD5F4">
        <w:rPr>
          <w:lang w:val="sv-SE"/>
        </w:rPr>
        <w:t>5</w:t>
      </w:r>
      <w:r w:rsidR="00720827" w:rsidRPr="539AD5F4">
        <w:rPr>
          <w:lang w:val="sv-SE"/>
        </w:rPr>
        <w:t xml:space="preserve"> </w:t>
      </w:r>
      <w:r w:rsidRPr="539AD5F4">
        <w:rPr>
          <w:lang w:val="sv-SE"/>
        </w:rPr>
        <w:t xml:space="preserve">§ i förordningen innebär att ett företag vid beräkningen av de fasta kostnaderna för en viss månad ska justera för förutbetalda och upplupna kostnader till den del detta krävs enligt de redovisningsregler som företaget tillämpat </w:t>
      </w:r>
      <w:r w:rsidR="07D1ADE5" w:rsidRPr="539AD5F4">
        <w:rPr>
          <w:lang w:val="sv-SE"/>
        </w:rPr>
        <w:t xml:space="preserve">i det </w:t>
      </w:r>
      <w:r w:rsidRPr="539AD5F4">
        <w:rPr>
          <w:lang w:val="sv-SE"/>
        </w:rPr>
        <w:t>räkenskapsår</w:t>
      </w:r>
      <w:r w:rsidR="0539CDB9" w:rsidRPr="539AD5F4">
        <w:rPr>
          <w:lang w:val="sv-SE"/>
        </w:rPr>
        <w:t xml:space="preserve"> som avslutats närmast före den 1 maj 2020</w:t>
      </w:r>
      <w:r w:rsidRPr="539AD5F4">
        <w:rPr>
          <w:lang w:val="sv-SE"/>
        </w:rPr>
        <w:t>.</w:t>
      </w:r>
    </w:p>
    <w:p w14:paraId="197053E5" w14:textId="77777777" w:rsidR="009749D8" w:rsidRDefault="00800724" w:rsidP="000940BD">
      <w:pPr>
        <w:spacing w:after="0"/>
        <w:rPr>
          <w:lang w:val="sv-SE"/>
        </w:rPr>
      </w:pPr>
      <w:r w:rsidRPr="0054565D">
        <w:rPr>
          <w:lang w:val="sv-SE"/>
        </w:rPr>
        <w:t xml:space="preserve">För </w:t>
      </w:r>
      <w:r w:rsidR="00C06F13">
        <w:rPr>
          <w:lang w:val="sv-SE"/>
        </w:rPr>
        <w:t>en fullständig</w:t>
      </w:r>
      <w:r w:rsidRPr="0054565D">
        <w:rPr>
          <w:lang w:val="sv-SE"/>
        </w:rPr>
        <w:t xml:space="preserve"> vägledning hänvisas till Skatteverkets rättsliga vägledningar</w:t>
      </w:r>
      <w:r w:rsidR="00C06F13">
        <w:rPr>
          <w:lang w:val="sv-SE"/>
        </w:rPr>
        <w:t>:</w:t>
      </w:r>
    </w:p>
    <w:p w14:paraId="2EA3A276" w14:textId="41F27800" w:rsidR="00800724" w:rsidRPr="009749D8" w:rsidRDefault="00800724" w:rsidP="009749D8">
      <w:pPr>
        <w:pStyle w:val="Liststycke"/>
        <w:numPr>
          <w:ilvl w:val="0"/>
          <w:numId w:val="5"/>
        </w:numPr>
        <w:spacing w:after="0"/>
        <w:rPr>
          <w:lang w:val="sv-SE"/>
        </w:rPr>
      </w:pPr>
      <w:r w:rsidRPr="009749D8">
        <w:rPr>
          <w:lang w:val="sv-SE"/>
        </w:rPr>
        <w:t>Vad räknas som fasta kostnader?</w:t>
      </w:r>
    </w:p>
    <w:p w14:paraId="569C54EB" w14:textId="63DEDB9D" w:rsidR="00800724" w:rsidRDefault="00800724" w:rsidP="00800724">
      <w:pPr>
        <w:pStyle w:val="Liststycke"/>
        <w:numPr>
          <w:ilvl w:val="0"/>
          <w:numId w:val="5"/>
        </w:numPr>
        <w:rPr>
          <w:lang w:val="sv-SE"/>
        </w:rPr>
      </w:pPr>
      <w:r w:rsidRPr="0054565D">
        <w:rPr>
          <w:lang w:val="sv-SE"/>
        </w:rPr>
        <w:t>Vad räknas inte som fasta kostnader?</w:t>
      </w:r>
    </w:p>
    <w:p w14:paraId="5CEBA2CD" w14:textId="77777777" w:rsidR="00C06F13" w:rsidRPr="000940BD" w:rsidRDefault="00C06F13" w:rsidP="00C06F13">
      <w:pPr>
        <w:pStyle w:val="Liststycke"/>
        <w:numPr>
          <w:ilvl w:val="0"/>
          <w:numId w:val="5"/>
        </w:numPr>
        <w:spacing w:after="0"/>
        <w:rPr>
          <w:lang w:val="sv-SE"/>
        </w:rPr>
      </w:pPr>
    </w:p>
    <w:p w14:paraId="3D38262C" w14:textId="710358CB" w:rsidR="006D55F1" w:rsidRDefault="00C06F13" w:rsidP="00D20D34">
      <w:pPr>
        <w:spacing w:after="0"/>
        <w:rPr>
          <w:lang w:val="sv-SE"/>
        </w:rPr>
      </w:pPr>
      <w:r w:rsidRPr="000940BD">
        <w:rPr>
          <w:lang w:val="sv-SE"/>
        </w:rPr>
        <w:t>Notera att n</w:t>
      </w:r>
      <w:r w:rsidRPr="00C06F13">
        <w:rPr>
          <w:lang w:val="sv-SE"/>
        </w:rPr>
        <w:t>edanstående uppräkning inte</w:t>
      </w:r>
      <w:r w:rsidRPr="000940BD">
        <w:rPr>
          <w:lang w:val="sv-SE"/>
        </w:rPr>
        <w:t xml:space="preserve"> </w:t>
      </w:r>
      <w:r w:rsidR="002664FD">
        <w:rPr>
          <w:lang w:val="sv-SE"/>
        </w:rPr>
        <w:t>innehåller samtliga fasta kostnader som beskrivs i förordningen</w:t>
      </w:r>
      <w:r w:rsidRPr="000940BD">
        <w:rPr>
          <w:lang w:val="sv-SE"/>
        </w:rPr>
        <w:t>.</w:t>
      </w:r>
      <w:r w:rsidR="003521B0">
        <w:rPr>
          <w:lang w:val="sv-SE"/>
        </w:rPr>
        <w:t xml:space="preserve"> </w:t>
      </w:r>
    </w:p>
    <w:p w14:paraId="76224910" w14:textId="7188F0D4" w:rsidR="00D20D34" w:rsidRDefault="00D20D34" w:rsidP="00D20D34">
      <w:pPr>
        <w:spacing w:after="0"/>
        <w:rPr>
          <w:lang w:val="sv-SE"/>
        </w:rPr>
      </w:pPr>
    </w:p>
    <w:p w14:paraId="2D8BDEAA" w14:textId="7C2ADA61" w:rsidR="00F009C9" w:rsidRPr="00CD0C56" w:rsidRDefault="00F009C9" w:rsidP="00D20D34">
      <w:pPr>
        <w:spacing w:after="0"/>
        <w:rPr>
          <w:i/>
          <w:iCs/>
          <w:lang w:val="sv-SE"/>
        </w:rPr>
      </w:pPr>
      <w:r w:rsidRPr="00CD0C56">
        <w:rPr>
          <w:i/>
          <w:iCs/>
          <w:lang w:val="sv-SE"/>
        </w:rPr>
        <w:t>Lönekostnader</w:t>
      </w:r>
    </w:p>
    <w:p w14:paraId="1CB278BC" w14:textId="52E82460" w:rsidR="00CD0C56" w:rsidRDefault="00F009C9" w:rsidP="00D20D34">
      <w:pPr>
        <w:spacing w:after="0"/>
        <w:rPr>
          <w:lang w:val="sv-SE"/>
        </w:rPr>
      </w:pPr>
      <w:r w:rsidRPr="00CD0C56">
        <w:rPr>
          <w:lang w:val="sv-SE"/>
        </w:rPr>
        <w:t>Med löne</w:t>
      </w:r>
      <w:r w:rsidR="0049456E" w:rsidRPr="00CD0C56">
        <w:rPr>
          <w:lang w:val="sv-SE"/>
        </w:rPr>
        <w:t>r</w:t>
      </w:r>
      <w:r w:rsidRPr="00CD0C56">
        <w:rPr>
          <w:lang w:val="sv-SE"/>
        </w:rPr>
        <w:t xml:space="preserve"> avses summan av företagets underlag för arbetsgivaravgifter enligt socialavgiftslagen för de redovisningsperioder som motsvarar stödperioden, ökad med summan av påförda arbetsgivaravgifter. Avdrag ska göras för belopp som företaget har fått eller kommer att få i preliminärt stöd enligt lagen om stöd vid korttidsarbete för samma period</w:t>
      </w:r>
      <w:r w:rsidR="0049456E" w:rsidRPr="00CD0C56">
        <w:rPr>
          <w:lang w:val="sv-SE"/>
        </w:rPr>
        <w:t xml:space="preserve">, </w:t>
      </w:r>
      <w:r w:rsidR="00F131E0" w:rsidRPr="00F131E0">
        <w:rPr>
          <w:lang w:val="sv-SE"/>
        </w:rPr>
        <w:t>ersättning för sjuklönekostnader enligt lagen (1991:1047) om sjuklön</w:t>
      </w:r>
      <w:r w:rsidR="00F131E0">
        <w:rPr>
          <w:lang w:val="sv-SE"/>
        </w:rPr>
        <w:t xml:space="preserve"> </w:t>
      </w:r>
      <w:r w:rsidR="00F131E0" w:rsidRPr="00F131E0">
        <w:rPr>
          <w:lang w:val="sv-SE"/>
        </w:rPr>
        <w:t>eller förordningen (2020:195) om vissa sjukpenningförmåner med anledning av sjukdomen covid-19 för samma period,</w:t>
      </w:r>
      <w:r w:rsidR="00F131E0">
        <w:rPr>
          <w:lang w:val="sv-SE"/>
        </w:rPr>
        <w:t xml:space="preserve"> </w:t>
      </w:r>
      <w:r w:rsidR="00675E47" w:rsidRPr="00CD0C56">
        <w:rPr>
          <w:lang w:val="sv-SE"/>
        </w:rPr>
        <w:t xml:space="preserve">samt annat statligt stöd eller bidrag för </w:t>
      </w:r>
      <w:r w:rsidR="0054179C" w:rsidRPr="00CD0C56">
        <w:rPr>
          <w:lang w:val="sv-SE"/>
        </w:rPr>
        <w:t>ersättningar enligt 2 kap 10 § socialavgiftslag</w:t>
      </w:r>
      <w:r w:rsidR="00597CAB" w:rsidRPr="00CD0C56">
        <w:rPr>
          <w:lang w:val="sv-SE"/>
        </w:rPr>
        <w:t>en</w:t>
      </w:r>
      <w:r w:rsidR="0054179C" w:rsidRPr="00CD0C56">
        <w:rPr>
          <w:lang w:val="sv-SE"/>
        </w:rPr>
        <w:t xml:space="preserve"> för den redovisningsperiod som motsvarar stödperioden</w:t>
      </w:r>
      <w:r w:rsidR="00CD0C56" w:rsidRPr="00CD0C56">
        <w:rPr>
          <w:lang w:val="sv-SE"/>
        </w:rPr>
        <w:t xml:space="preserve"> och de arbetsgivaravgifter som belöper på samma period</w:t>
      </w:r>
      <w:r w:rsidRPr="00CD0C56">
        <w:rPr>
          <w:lang w:val="sv-SE"/>
        </w:rPr>
        <w:t xml:space="preserve">. </w:t>
      </w:r>
    </w:p>
    <w:p w14:paraId="5C711D20" w14:textId="77777777" w:rsidR="00CD0C56" w:rsidRDefault="00CD0C56" w:rsidP="00D20D34">
      <w:pPr>
        <w:spacing w:after="0"/>
        <w:rPr>
          <w:lang w:val="sv-SE"/>
        </w:rPr>
      </w:pPr>
    </w:p>
    <w:p w14:paraId="6A1A24BB" w14:textId="05CE7527" w:rsidR="00F009C9" w:rsidRPr="00F009C9" w:rsidRDefault="00F009C9" w:rsidP="00D20D34">
      <w:pPr>
        <w:spacing w:after="0"/>
        <w:rPr>
          <w:lang w:val="sv-SE"/>
        </w:rPr>
      </w:pPr>
      <w:r w:rsidRPr="00CD0C56">
        <w:rPr>
          <w:lang w:val="sv-SE"/>
        </w:rPr>
        <w:t>Om slutligt stöd enligt lagen om stöd vid korttidsarbete har beslutats när ansökan om omställningsstöd prövas av Skatteverket, ska avdrag i stället göras för det belopp som motsvarar det slutliga stödet för perioden.</w:t>
      </w:r>
    </w:p>
    <w:p w14:paraId="34071582" w14:textId="77777777" w:rsidR="006D55F1" w:rsidRPr="00D20D34" w:rsidRDefault="006D55F1" w:rsidP="00D20D34">
      <w:pPr>
        <w:spacing w:after="0"/>
        <w:rPr>
          <w:lang w:val="sv-SE"/>
        </w:rPr>
      </w:pPr>
    </w:p>
    <w:p w14:paraId="4672A339" w14:textId="77777777" w:rsidR="00800724" w:rsidRPr="004A0E22" w:rsidRDefault="00800724" w:rsidP="00800724">
      <w:pPr>
        <w:pStyle w:val="Rubrik4"/>
        <w:rPr>
          <w:rFonts w:ascii="Arial" w:hAnsi="Arial"/>
          <w:lang w:val="sv-SE"/>
        </w:rPr>
      </w:pPr>
      <w:r w:rsidRPr="004A0E22">
        <w:rPr>
          <w:rFonts w:ascii="Arial" w:hAnsi="Arial"/>
          <w:lang w:val="sv-SE"/>
        </w:rPr>
        <w:t>Hyra leasing</w:t>
      </w:r>
    </w:p>
    <w:p w14:paraId="36EC921B" w14:textId="77777777" w:rsidR="00800724" w:rsidRPr="0054565D" w:rsidRDefault="00800724" w:rsidP="00800724">
      <w:pPr>
        <w:pStyle w:val="Liststycke"/>
        <w:numPr>
          <w:ilvl w:val="0"/>
          <w:numId w:val="4"/>
        </w:numPr>
        <w:rPr>
          <w:lang w:val="sv-SE"/>
        </w:rPr>
      </w:pPr>
      <w:r w:rsidRPr="539AD5F4">
        <w:rPr>
          <w:lang w:val="sv-SE"/>
        </w:rPr>
        <w:t xml:space="preserve">Avtalstid ska vara minst </w:t>
      </w:r>
      <w:r w:rsidRPr="539AD5F4">
        <w:rPr>
          <w:b/>
          <w:bCs/>
          <w:lang w:val="sv-SE"/>
        </w:rPr>
        <w:t>6 månader</w:t>
      </w:r>
      <w:r w:rsidRPr="539AD5F4">
        <w:rPr>
          <w:lang w:val="sv-SE"/>
        </w:rPr>
        <w:t xml:space="preserve"> (så korttidshyror &lt;6 månader måste räknas bort från kontot med hyres-/leasingavgifter)</w:t>
      </w:r>
    </w:p>
    <w:p w14:paraId="2CADEBD4" w14:textId="77777777" w:rsidR="00800724" w:rsidRPr="0054565D" w:rsidRDefault="00800724" w:rsidP="00800724">
      <w:pPr>
        <w:pStyle w:val="Liststycke"/>
        <w:numPr>
          <w:ilvl w:val="0"/>
          <w:numId w:val="4"/>
        </w:numPr>
        <w:rPr>
          <w:lang w:val="sv-SE"/>
        </w:rPr>
      </w:pPr>
      <w:r w:rsidRPr="539AD5F4">
        <w:rPr>
          <w:lang w:val="sv-SE"/>
        </w:rPr>
        <w:t>Hela leasingkostnaden ska ingå i raden (dvs även räntedelen om den specificeras på egen rad på fakturan)</w:t>
      </w:r>
    </w:p>
    <w:p w14:paraId="273CEB93" w14:textId="77777777" w:rsidR="00800724" w:rsidRPr="0054565D" w:rsidRDefault="00800724" w:rsidP="00800724">
      <w:pPr>
        <w:pStyle w:val="Liststycke"/>
        <w:numPr>
          <w:ilvl w:val="0"/>
          <w:numId w:val="4"/>
        </w:numPr>
        <w:rPr>
          <w:lang w:val="sv-SE"/>
        </w:rPr>
      </w:pPr>
      <w:r w:rsidRPr="539AD5F4">
        <w:rPr>
          <w:lang w:val="sv-SE"/>
        </w:rPr>
        <w:t>Personalhyra ingår EJ</w:t>
      </w:r>
    </w:p>
    <w:p w14:paraId="67262BC9" w14:textId="63181D32" w:rsidR="00800724" w:rsidRDefault="00800724" w:rsidP="00800724">
      <w:pPr>
        <w:pStyle w:val="Liststycke"/>
        <w:numPr>
          <w:ilvl w:val="0"/>
          <w:numId w:val="4"/>
        </w:numPr>
        <w:rPr>
          <w:lang w:val="sv-SE"/>
        </w:rPr>
      </w:pPr>
      <w:r w:rsidRPr="539AD5F4">
        <w:rPr>
          <w:lang w:val="sv-SE"/>
        </w:rPr>
        <w:t>Koncerninterna poster räknas ej med. Dvs hyr man lokaler eller utrustning från koncernbolag så får dessa ej räknas med</w:t>
      </w:r>
      <w:r w:rsidR="00CF3874" w:rsidRPr="539AD5F4">
        <w:rPr>
          <w:lang w:val="sv-SE"/>
        </w:rPr>
        <w:t xml:space="preserve">. </w:t>
      </w:r>
      <w:r w:rsidR="00953EC8" w:rsidRPr="539AD5F4">
        <w:rPr>
          <w:lang w:val="sv-SE"/>
        </w:rPr>
        <w:t xml:space="preserve">Förtydligande om </w:t>
      </w:r>
      <w:r w:rsidR="007A5667" w:rsidRPr="539AD5F4">
        <w:rPr>
          <w:lang w:val="sv-SE"/>
        </w:rPr>
        <w:t xml:space="preserve">koncerninterna poster lämnas i Skatteverkets rättsliga vägledning </w:t>
      </w:r>
      <w:r w:rsidR="00AF21F4" w:rsidRPr="539AD5F4">
        <w:rPr>
          <w:lang w:val="sv-SE"/>
        </w:rPr>
        <w:t xml:space="preserve">i </w:t>
      </w:r>
      <w:r w:rsidR="007A5667" w:rsidRPr="539AD5F4">
        <w:rPr>
          <w:lang w:val="sv-SE"/>
        </w:rPr>
        <w:t>avsnitt</w:t>
      </w:r>
      <w:r w:rsidR="00AF21F4" w:rsidRPr="539AD5F4">
        <w:rPr>
          <w:lang w:val="sv-SE"/>
        </w:rPr>
        <w:t>et</w:t>
      </w:r>
      <w:r w:rsidR="007A5667" w:rsidRPr="539AD5F4">
        <w:rPr>
          <w:lang w:val="sv-SE"/>
        </w:rPr>
        <w:t xml:space="preserve"> </w:t>
      </w:r>
      <w:r w:rsidR="00AF21F4" w:rsidRPr="539AD5F4">
        <w:rPr>
          <w:lang w:val="sv-SE"/>
        </w:rPr>
        <w:t>”</w:t>
      </w:r>
      <w:r w:rsidR="007A5667" w:rsidRPr="539AD5F4">
        <w:rPr>
          <w:lang w:val="sv-SE"/>
        </w:rPr>
        <w:t>Va</w:t>
      </w:r>
      <w:r w:rsidR="00AF21F4" w:rsidRPr="539AD5F4">
        <w:rPr>
          <w:lang w:val="sv-SE"/>
        </w:rPr>
        <w:t>d</w:t>
      </w:r>
      <w:r w:rsidR="007A5667" w:rsidRPr="539AD5F4">
        <w:rPr>
          <w:lang w:val="sv-SE"/>
        </w:rPr>
        <w:t xml:space="preserve"> räknas inte </w:t>
      </w:r>
      <w:r w:rsidR="00063E01" w:rsidRPr="539AD5F4">
        <w:rPr>
          <w:lang w:val="sv-SE"/>
        </w:rPr>
        <w:t>s</w:t>
      </w:r>
      <w:r w:rsidR="007A5667" w:rsidRPr="539AD5F4">
        <w:rPr>
          <w:lang w:val="sv-SE"/>
        </w:rPr>
        <w:t>om fasta kostnader</w:t>
      </w:r>
      <w:r w:rsidR="00AF21F4" w:rsidRPr="539AD5F4">
        <w:rPr>
          <w:lang w:val="sv-SE"/>
        </w:rPr>
        <w:t>”?</w:t>
      </w:r>
      <w:r w:rsidR="00347B86" w:rsidRPr="539AD5F4">
        <w:rPr>
          <w:lang w:val="sv-SE"/>
        </w:rPr>
        <w:t xml:space="preserve"> </w:t>
      </w:r>
      <w:r w:rsidR="009203F3" w:rsidRPr="539AD5F4">
        <w:rPr>
          <w:lang w:val="sv-SE"/>
        </w:rPr>
        <w:t xml:space="preserve">Här förklaras </w:t>
      </w:r>
      <w:r w:rsidR="009D3431" w:rsidRPr="539AD5F4">
        <w:rPr>
          <w:lang w:val="sv-SE"/>
        </w:rPr>
        <w:t xml:space="preserve">bl a att om ett koncernföretag inte är avtalspart </w:t>
      </w:r>
      <w:r w:rsidR="008854CC" w:rsidRPr="539AD5F4">
        <w:rPr>
          <w:lang w:val="sv-SE"/>
        </w:rPr>
        <w:t xml:space="preserve">gentemot en extern part utan </w:t>
      </w:r>
      <w:r w:rsidR="007F5095" w:rsidRPr="539AD5F4">
        <w:rPr>
          <w:lang w:val="sv-SE"/>
        </w:rPr>
        <w:t xml:space="preserve">bara betalar </w:t>
      </w:r>
      <w:r w:rsidR="00B92A88" w:rsidRPr="539AD5F4">
        <w:rPr>
          <w:lang w:val="sv-SE"/>
        </w:rPr>
        <w:t xml:space="preserve">fakturan så är utlägget ingen fast kostnad för </w:t>
      </w:r>
      <w:r w:rsidR="003754D3" w:rsidRPr="539AD5F4">
        <w:rPr>
          <w:lang w:val="sv-SE"/>
        </w:rPr>
        <w:t>det koncernföretag som gjort betalningen,</w:t>
      </w:r>
      <w:r w:rsidR="00D7418B" w:rsidRPr="539AD5F4">
        <w:rPr>
          <w:lang w:val="sv-SE"/>
        </w:rPr>
        <w:t xml:space="preserve"> utan bara för det företag som är avtalspart.</w:t>
      </w:r>
    </w:p>
    <w:p w14:paraId="3E6A9F80" w14:textId="34A0525B" w:rsidR="00800724" w:rsidRPr="004A0E22" w:rsidRDefault="00800724" w:rsidP="00800724">
      <w:pPr>
        <w:pStyle w:val="Rubrik4"/>
        <w:rPr>
          <w:rFonts w:ascii="Arial" w:hAnsi="Arial"/>
          <w:lang w:val="sv-SE"/>
        </w:rPr>
      </w:pPr>
      <w:r w:rsidRPr="004A0E22">
        <w:rPr>
          <w:rFonts w:ascii="Arial" w:hAnsi="Arial"/>
          <w:lang w:val="sv-SE"/>
        </w:rPr>
        <w:t>Räntor</w:t>
      </w:r>
    </w:p>
    <w:p w14:paraId="1B75D768" w14:textId="77777777" w:rsidR="00800724" w:rsidRPr="0054565D" w:rsidRDefault="00800724" w:rsidP="00800724">
      <w:pPr>
        <w:pStyle w:val="Liststycke"/>
        <w:numPr>
          <w:ilvl w:val="0"/>
          <w:numId w:val="4"/>
        </w:numPr>
        <w:rPr>
          <w:lang w:val="sv-SE"/>
        </w:rPr>
      </w:pPr>
      <w:r w:rsidRPr="539AD5F4">
        <w:rPr>
          <w:lang w:val="sv-SE"/>
        </w:rPr>
        <w:t>Ska vara fråga om ränta på kredit</w:t>
      </w:r>
    </w:p>
    <w:p w14:paraId="12D56575" w14:textId="556EA79D" w:rsidR="00800724" w:rsidRPr="0054565D" w:rsidRDefault="00800724" w:rsidP="00800724">
      <w:pPr>
        <w:pStyle w:val="Liststycke"/>
        <w:numPr>
          <w:ilvl w:val="0"/>
          <w:numId w:val="4"/>
        </w:numPr>
        <w:rPr>
          <w:lang w:val="sv-SE"/>
        </w:rPr>
      </w:pPr>
      <w:r w:rsidRPr="539AD5F4">
        <w:rPr>
          <w:lang w:val="sv-SE"/>
        </w:rPr>
        <w:t xml:space="preserve">Dröjsmålsräntor (omnämns ej i </w:t>
      </w:r>
      <w:r w:rsidR="005F0020" w:rsidRPr="539AD5F4">
        <w:rPr>
          <w:lang w:val="sv-SE"/>
        </w:rPr>
        <w:t>S</w:t>
      </w:r>
      <w:r w:rsidRPr="539AD5F4">
        <w:rPr>
          <w:lang w:val="sv-SE"/>
        </w:rPr>
        <w:t>katteverkets vägledning, men sannolikt ska de ej ingå)</w:t>
      </w:r>
    </w:p>
    <w:p w14:paraId="1FA20795" w14:textId="53161A1E" w:rsidR="00800724" w:rsidRPr="0054565D" w:rsidRDefault="00800724" w:rsidP="00800724">
      <w:pPr>
        <w:pStyle w:val="Liststycke"/>
        <w:numPr>
          <w:ilvl w:val="0"/>
          <w:numId w:val="4"/>
        </w:numPr>
        <w:rPr>
          <w:lang w:val="sv-SE"/>
        </w:rPr>
      </w:pPr>
      <w:r w:rsidRPr="539AD5F4">
        <w:rPr>
          <w:lang w:val="sv-SE"/>
        </w:rPr>
        <w:lastRenderedPageBreak/>
        <w:t>Ränta på leasingkostnaden ska ej medräknas som räntekostnad (ingår dock i leasingkostnad</w:t>
      </w:r>
      <w:r w:rsidR="008D119D" w:rsidRPr="539AD5F4">
        <w:rPr>
          <w:lang w:val="sv-SE"/>
        </w:rPr>
        <w:t>en, se ovan</w:t>
      </w:r>
      <w:r w:rsidRPr="539AD5F4">
        <w:rPr>
          <w:lang w:val="sv-SE"/>
        </w:rPr>
        <w:t>)</w:t>
      </w:r>
    </w:p>
    <w:p w14:paraId="26099CF2" w14:textId="77777777" w:rsidR="00800724" w:rsidRPr="0054565D" w:rsidRDefault="00800724" w:rsidP="00800724">
      <w:pPr>
        <w:pStyle w:val="Liststycke"/>
        <w:numPr>
          <w:ilvl w:val="0"/>
          <w:numId w:val="4"/>
        </w:numPr>
        <w:rPr>
          <w:lang w:val="sv-SE"/>
        </w:rPr>
      </w:pPr>
      <w:r w:rsidRPr="539AD5F4">
        <w:rPr>
          <w:lang w:val="sv-SE"/>
        </w:rPr>
        <w:t>Ska vara fråga om räntenettot, dvs dra bort ränteintäkter</w:t>
      </w:r>
    </w:p>
    <w:p w14:paraId="59D6C422" w14:textId="77777777" w:rsidR="00800724" w:rsidRPr="0054565D" w:rsidRDefault="00800724" w:rsidP="00800724">
      <w:pPr>
        <w:pStyle w:val="Liststycke"/>
        <w:numPr>
          <w:ilvl w:val="0"/>
          <w:numId w:val="4"/>
        </w:numPr>
        <w:rPr>
          <w:lang w:val="sv-SE"/>
        </w:rPr>
      </w:pPr>
      <w:r w:rsidRPr="539AD5F4">
        <w:rPr>
          <w:lang w:val="sv-SE"/>
        </w:rPr>
        <w:t>Ej koncerninterna räntor – så bortse från koncerninterna ränteintäkter och -kostnader</w:t>
      </w:r>
    </w:p>
    <w:p w14:paraId="1F2F2C7D" w14:textId="79D2C6A5" w:rsidR="00800724" w:rsidRPr="004A0E22" w:rsidRDefault="00800724" w:rsidP="00800724">
      <w:pPr>
        <w:pStyle w:val="Liststycke"/>
        <w:numPr>
          <w:ilvl w:val="0"/>
          <w:numId w:val="4"/>
        </w:numPr>
        <w:rPr>
          <w:lang w:val="sv-SE"/>
        </w:rPr>
      </w:pPr>
      <w:r w:rsidRPr="539AD5F4">
        <w:rPr>
          <w:lang w:val="sv-SE"/>
        </w:rPr>
        <w:t>Ränta på hybridlån ska ej ingå</w:t>
      </w:r>
      <w:r w:rsidR="008D119D" w:rsidRPr="539AD5F4">
        <w:rPr>
          <w:lang w:val="sv-SE"/>
        </w:rPr>
        <w:t>. H</w:t>
      </w:r>
      <w:r w:rsidRPr="539AD5F4">
        <w:rPr>
          <w:lang w:val="sv-SE"/>
        </w:rPr>
        <w:t xml:space="preserve">är avses </w:t>
      </w:r>
      <w:r w:rsidR="00C06F13" w:rsidRPr="539AD5F4">
        <w:rPr>
          <w:lang w:val="sv-SE"/>
        </w:rPr>
        <w:t>bland annat</w:t>
      </w:r>
      <w:r w:rsidRPr="539AD5F4">
        <w:rPr>
          <w:lang w:val="sv-SE"/>
        </w:rPr>
        <w:t xml:space="preserve"> räntekomponent på konvertibel som ej ska räknas med som fast kostnad (den räntan utgör inte intäkt för annan part, 24b kap 5§ IL)</w:t>
      </w:r>
    </w:p>
    <w:p w14:paraId="6FCA6C9B" w14:textId="77777777" w:rsidR="00800724" w:rsidRPr="0054565D" w:rsidRDefault="00800724" w:rsidP="00800724">
      <w:pPr>
        <w:pStyle w:val="Liststycke"/>
        <w:numPr>
          <w:ilvl w:val="0"/>
          <w:numId w:val="4"/>
        </w:numPr>
        <w:rPr>
          <w:lang w:val="sv-SE"/>
        </w:rPr>
      </w:pPr>
      <w:r w:rsidRPr="539AD5F4">
        <w:rPr>
          <w:lang w:val="sv-SE"/>
        </w:rPr>
        <w:t xml:space="preserve">Räntekomponent på derivat ska ej ingå. </w:t>
      </w:r>
    </w:p>
    <w:p w14:paraId="43B5752A" w14:textId="77777777" w:rsidR="00800724" w:rsidRPr="004A0E22" w:rsidRDefault="00800724" w:rsidP="00800724">
      <w:pPr>
        <w:pStyle w:val="Rubrik4"/>
        <w:rPr>
          <w:rFonts w:ascii="Arial" w:hAnsi="Arial"/>
          <w:lang w:val="sv-SE"/>
        </w:rPr>
      </w:pPr>
      <w:r w:rsidRPr="004A0E22">
        <w:rPr>
          <w:rFonts w:ascii="Arial" w:hAnsi="Arial"/>
          <w:lang w:val="sv-SE"/>
        </w:rPr>
        <w:t>Värdeminskningar på anläggningstillgångar (avskrivningar)</w:t>
      </w:r>
    </w:p>
    <w:p w14:paraId="235C93AB" w14:textId="015E76D7" w:rsidR="00800724" w:rsidRPr="0054565D" w:rsidRDefault="00EA7EA4" w:rsidP="00354B41">
      <w:pPr>
        <w:pStyle w:val="Liststycke"/>
        <w:numPr>
          <w:ilvl w:val="0"/>
          <w:numId w:val="4"/>
        </w:numPr>
        <w:spacing w:after="0"/>
        <w:rPr>
          <w:lang w:val="sv-SE"/>
        </w:rPr>
      </w:pPr>
      <w:r w:rsidRPr="539AD5F4">
        <w:rPr>
          <w:lang w:val="sv-SE"/>
        </w:rPr>
        <w:t xml:space="preserve">Kostnaden för värdeminskning får anses motsvaras av de avskrivningar enligt plan som belöper sig på </w:t>
      </w:r>
      <w:r w:rsidR="4CD274BE" w:rsidRPr="539AD5F4">
        <w:rPr>
          <w:lang w:val="sv-SE"/>
        </w:rPr>
        <w:t>stödperioden.</w:t>
      </w:r>
    </w:p>
    <w:p w14:paraId="3199BE92" w14:textId="77777777" w:rsidR="00800724" w:rsidRPr="0054565D" w:rsidRDefault="00800724" w:rsidP="00800724">
      <w:pPr>
        <w:pStyle w:val="Liststycke"/>
        <w:numPr>
          <w:ilvl w:val="0"/>
          <w:numId w:val="4"/>
        </w:numPr>
        <w:rPr>
          <w:lang w:val="sv-SE"/>
        </w:rPr>
      </w:pPr>
      <w:r w:rsidRPr="539AD5F4">
        <w:rPr>
          <w:lang w:val="sv-SE"/>
        </w:rPr>
        <w:t>Avskrivningarna behöver inte vara bokförda utan det räcker att företaget kan ta fram uppgifterna.</w:t>
      </w:r>
    </w:p>
    <w:p w14:paraId="7230AA66" w14:textId="77777777" w:rsidR="00800724" w:rsidRPr="004A0E22" w:rsidRDefault="00800724" w:rsidP="00800724">
      <w:pPr>
        <w:pStyle w:val="Rubrik4"/>
        <w:rPr>
          <w:rFonts w:ascii="Arial" w:hAnsi="Arial"/>
          <w:lang w:val="sv-SE"/>
        </w:rPr>
      </w:pPr>
      <w:r w:rsidRPr="004A0E22">
        <w:rPr>
          <w:rFonts w:ascii="Arial" w:hAnsi="Arial"/>
          <w:lang w:val="sv-SE"/>
        </w:rPr>
        <w:t>Reparation och underhåll</w:t>
      </w:r>
    </w:p>
    <w:p w14:paraId="5005F035" w14:textId="2CB473D3" w:rsidR="00800724" w:rsidRPr="0054565D" w:rsidRDefault="00800724" w:rsidP="00800724">
      <w:pPr>
        <w:pStyle w:val="Liststycke"/>
        <w:numPr>
          <w:ilvl w:val="0"/>
          <w:numId w:val="4"/>
        </w:numPr>
        <w:rPr>
          <w:lang w:val="sv-SE"/>
        </w:rPr>
      </w:pPr>
      <w:r w:rsidRPr="539AD5F4">
        <w:rPr>
          <w:lang w:val="sv-SE"/>
        </w:rPr>
        <w:t>Ska vara fråga om ”nödvändiga reparationer och underhåll”. Enl</w:t>
      </w:r>
      <w:r w:rsidR="00E53672" w:rsidRPr="539AD5F4">
        <w:rPr>
          <w:lang w:val="sv-SE"/>
        </w:rPr>
        <w:t>igt</w:t>
      </w:r>
      <w:r w:rsidRPr="539AD5F4">
        <w:rPr>
          <w:lang w:val="sv-SE"/>
        </w:rPr>
        <w:t xml:space="preserve"> SKV gäller det normalt löpande underhåll på en </w:t>
      </w:r>
      <w:r w:rsidR="006B4CA4" w:rsidRPr="539AD5F4">
        <w:rPr>
          <w:lang w:val="sv-SE"/>
        </w:rPr>
        <w:t>anläggningstillgång</w:t>
      </w:r>
      <w:r w:rsidRPr="539AD5F4">
        <w:rPr>
          <w:lang w:val="sv-SE"/>
        </w:rPr>
        <w:t xml:space="preserve"> som genomförs för att bibehålla tillgången i ursprungligt och funktionsdugligt skick</w:t>
      </w:r>
    </w:p>
    <w:p w14:paraId="0EDD037D" w14:textId="77777777" w:rsidR="00800724" w:rsidRPr="0054565D" w:rsidRDefault="00800724" w:rsidP="00800724">
      <w:pPr>
        <w:pStyle w:val="Liststycke"/>
        <w:numPr>
          <w:ilvl w:val="0"/>
          <w:numId w:val="4"/>
        </w:numPr>
        <w:rPr>
          <w:lang w:val="sv-SE"/>
        </w:rPr>
      </w:pPr>
      <w:r w:rsidRPr="539AD5F4">
        <w:rPr>
          <w:lang w:val="sv-SE"/>
        </w:rPr>
        <w:t>Förbättring av anläggningstillgång får ej medräknas. Utgifter som kostnadsförts enligt det utvidgade reparat</w:t>
      </w:r>
      <w:r w:rsidR="00EE030E" w:rsidRPr="539AD5F4">
        <w:rPr>
          <w:lang w:val="sv-SE"/>
        </w:rPr>
        <w:t>io</w:t>
      </w:r>
      <w:r w:rsidRPr="539AD5F4">
        <w:rPr>
          <w:lang w:val="sv-SE"/>
        </w:rPr>
        <w:t>nsbegreppet ska normalt ej medräknas i fasta kostnader (se SKV ”Vad räknas som fasta kostnader”)</w:t>
      </w:r>
    </w:p>
    <w:p w14:paraId="4FDB8AE8" w14:textId="77777777" w:rsidR="00800724" w:rsidRPr="004A0E22" w:rsidRDefault="00800724" w:rsidP="00800724">
      <w:pPr>
        <w:pStyle w:val="Rubrik4"/>
        <w:rPr>
          <w:rFonts w:ascii="Arial" w:hAnsi="Arial"/>
          <w:lang w:val="sv-SE"/>
        </w:rPr>
      </w:pPr>
      <w:r w:rsidRPr="004A0E22">
        <w:rPr>
          <w:rFonts w:ascii="Arial" w:hAnsi="Arial"/>
          <w:lang w:val="sv-SE"/>
        </w:rPr>
        <w:t>Förbrukning av el</w:t>
      </w:r>
    </w:p>
    <w:p w14:paraId="346CBE79" w14:textId="77777777" w:rsidR="00800724" w:rsidRPr="0054565D" w:rsidRDefault="00800724" w:rsidP="00800724">
      <w:pPr>
        <w:pStyle w:val="Liststycke"/>
        <w:numPr>
          <w:ilvl w:val="0"/>
          <w:numId w:val="4"/>
        </w:numPr>
        <w:rPr>
          <w:lang w:val="sv-SE"/>
        </w:rPr>
      </w:pPr>
      <w:r w:rsidRPr="539AD5F4">
        <w:rPr>
          <w:lang w:val="sv-SE"/>
        </w:rPr>
        <w:t>Får ej medräkna kostnad för el avseende tillverkningsprocess i industriell verksamhet (varken elnätsavgift, elhandelspris eller energiskatt får räknas med)</w:t>
      </w:r>
    </w:p>
    <w:p w14:paraId="4AD3F9C7" w14:textId="04772F93" w:rsidR="00800724" w:rsidRPr="004A0E22" w:rsidRDefault="00800724" w:rsidP="00800724">
      <w:pPr>
        <w:pStyle w:val="Liststycke"/>
        <w:numPr>
          <w:ilvl w:val="0"/>
          <w:numId w:val="4"/>
        </w:numPr>
        <w:rPr>
          <w:lang w:val="sv-SE"/>
        </w:rPr>
      </w:pPr>
      <w:r w:rsidRPr="539AD5F4">
        <w:rPr>
          <w:lang w:val="sv-SE"/>
        </w:rPr>
        <w:t>Bränsle eller el som används för uppvärmning av lokaler får ej medräknas till den del som sådan förbrukning ger rätt till skattebefrielse enligt lagen (1994:1776) om skatt på energi.</w:t>
      </w:r>
    </w:p>
    <w:p w14:paraId="41222E9F" w14:textId="77777777" w:rsidR="00800724" w:rsidRPr="004A0E22" w:rsidRDefault="00800724" w:rsidP="00800724">
      <w:pPr>
        <w:pStyle w:val="Rubrik4"/>
        <w:rPr>
          <w:rFonts w:ascii="Arial" w:hAnsi="Arial"/>
          <w:i w:val="0"/>
          <w:lang w:val="sv-SE"/>
        </w:rPr>
      </w:pPr>
      <w:r w:rsidRPr="004A0E22">
        <w:rPr>
          <w:rFonts w:ascii="Arial" w:hAnsi="Arial"/>
          <w:lang w:val="sv-SE"/>
        </w:rPr>
        <w:t>Försäkringar</w:t>
      </w:r>
    </w:p>
    <w:p w14:paraId="57634FBE" w14:textId="77777777" w:rsidR="00800724" w:rsidRPr="0054565D" w:rsidRDefault="00800724" w:rsidP="00800724">
      <w:pPr>
        <w:rPr>
          <w:lang w:val="sv-SE"/>
        </w:rPr>
      </w:pPr>
      <w:r w:rsidRPr="0054565D">
        <w:rPr>
          <w:lang w:val="sv-SE"/>
        </w:rPr>
        <w:t>De kostnader som avses är kostnader för försäkringar mot ekonomisk förlust genom sakskada, ersättningsskyldighet eller ren förmögenhetsskada. Däremot ingår inte kostnader för pensions- och sjukvårdsförsäkringar.</w:t>
      </w:r>
    </w:p>
    <w:p w14:paraId="17F71EE4" w14:textId="77777777" w:rsidR="00800724" w:rsidRPr="004A0E22" w:rsidRDefault="00800724" w:rsidP="00800724">
      <w:pPr>
        <w:pStyle w:val="Rubrik4"/>
        <w:rPr>
          <w:rFonts w:ascii="Arial" w:hAnsi="Arial"/>
          <w:lang w:val="sv-SE"/>
        </w:rPr>
      </w:pPr>
      <w:r w:rsidRPr="004A0E22">
        <w:rPr>
          <w:rFonts w:ascii="Arial" w:hAnsi="Arial"/>
          <w:lang w:val="sv-SE"/>
        </w:rPr>
        <w:t>Tjänster som avser tvätt av textilier</w:t>
      </w:r>
    </w:p>
    <w:p w14:paraId="7E68D5C2" w14:textId="77777777" w:rsidR="00800724" w:rsidRPr="0054565D" w:rsidRDefault="00800724" w:rsidP="00800724">
      <w:pPr>
        <w:pStyle w:val="Liststycke"/>
        <w:numPr>
          <w:ilvl w:val="0"/>
          <w:numId w:val="4"/>
        </w:numPr>
        <w:rPr>
          <w:lang w:val="sv-SE"/>
        </w:rPr>
      </w:pPr>
      <w:r w:rsidRPr="539AD5F4">
        <w:rPr>
          <w:lang w:val="sv-SE"/>
        </w:rPr>
        <w:t>Får inte vara beroende av mängden textilier</w:t>
      </w:r>
    </w:p>
    <w:p w14:paraId="16DD77E1" w14:textId="77777777" w:rsidR="00800724" w:rsidRPr="0054565D" w:rsidRDefault="00800724" w:rsidP="00800724">
      <w:pPr>
        <w:pStyle w:val="Liststycke"/>
        <w:numPr>
          <w:ilvl w:val="0"/>
          <w:numId w:val="4"/>
        </w:numPr>
        <w:rPr>
          <w:lang w:val="sv-SE"/>
        </w:rPr>
      </w:pPr>
      <w:r w:rsidRPr="539AD5F4">
        <w:rPr>
          <w:lang w:val="sv-SE"/>
        </w:rPr>
        <w:t xml:space="preserve">Avser främst olika typer av abonnemangsavgifter. Avtalstiden ska uppgå till minst </w:t>
      </w:r>
      <w:r w:rsidRPr="539AD5F4">
        <w:rPr>
          <w:b/>
          <w:bCs/>
          <w:lang w:val="sv-SE"/>
        </w:rPr>
        <w:t xml:space="preserve">3 </w:t>
      </w:r>
      <w:r w:rsidRPr="539AD5F4">
        <w:rPr>
          <w:lang w:val="sv-SE"/>
        </w:rPr>
        <w:t xml:space="preserve">månader. </w:t>
      </w:r>
    </w:p>
    <w:p w14:paraId="494CA4B7" w14:textId="77777777" w:rsidR="00800724" w:rsidRPr="0054565D" w:rsidRDefault="00800724" w:rsidP="00800724">
      <w:pPr>
        <w:pStyle w:val="Liststycke"/>
        <w:numPr>
          <w:ilvl w:val="0"/>
          <w:numId w:val="4"/>
        </w:numPr>
        <w:rPr>
          <w:lang w:val="sv-SE"/>
        </w:rPr>
      </w:pPr>
      <w:r w:rsidRPr="539AD5F4">
        <w:rPr>
          <w:lang w:val="sv-SE"/>
        </w:rPr>
        <w:t>Om både rörlig och fast del så är det endast den fasta delen som får räknas med</w:t>
      </w:r>
    </w:p>
    <w:p w14:paraId="1C57E03E" w14:textId="77777777" w:rsidR="00800724" w:rsidRPr="0054565D" w:rsidRDefault="00800724" w:rsidP="00800724">
      <w:pPr>
        <w:rPr>
          <w:lang w:val="sv-SE"/>
        </w:rPr>
      </w:pPr>
      <w:r w:rsidRPr="0054565D">
        <w:rPr>
          <w:i/>
          <w:iCs/>
          <w:lang w:val="sv-SE"/>
        </w:rPr>
        <w:t>Franchiseavgifter</w:t>
      </w:r>
    </w:p>
    <w:p w14:paraId="7242633E" w14:textId="77777777" w:rsidR="00800724" w:rsidRPr="0054565D" w:rsidRDefault="00800724" w:rsidP="00800724">
      <w:pPr>
        <w:rPr>
          <w:lang w:val="sv-SE"/>
        </w:rPr>
      </w:pPr>
      <w:r w:rsidRPr="0054565D">
        <w:rPr>
          <w:lang w:val="sv-SE"/>
        </w:rPr>
        <w:t>En förutsättning för att franchiseavgifter ska kunna ingå i sammanställningen över fasta kostnader är att avgiften inte får vara beroende av försäljningsvolym eller liknande. Avgifter som exempelvis beräknas som en procent av försäljningen får anses utgöra rörliga kostnader.</w:t>
      </w:r>
    </w:p>
    <w:p w14:paraId="77E62E9E" w14:textId="77777777" w:rsidR="00800724" w:rsidRPr="0054565D" w:rsidRDefault="00800724" w:rsidP="00800724">
      <w:pPr>
        <w:rPr>
          <w:i/>
          <w:iCs/>
          <w:lang w:val="sv-SE"/>
        </w:rPr>
      </w:pPr>
      <w:r w:rsidRPr="0054565D">
        <w:rPr>
          <w:i/>
          <w:iCs/>
          <w:lang w:val="sv-SE"/>
        </w:rPr>
        <w:t>Royalties och licensavgifter för immateriella rättigheter</w:t>
      </w:r>
    </w:p>
    <w:p w14:paraId="06C284E0" w14:textId="135EE88E" w:rsidR="00673E1A" w:rsidRPr="0054565D" w:rsidRDefault="00800724" w:rsidP="00673E1A">
      <w:pPr>
        <w:rPr>
          <w:b/>
          <w:sz w:val="32"/>
          <w:szCs w:val="32"/>
          <w:lang w:val="sv-SE"/>
        </w:rPr>
      </w:pPr>
      <w:r w:rsidRPr="0054565D">
        <w:rPr>
          <w:lang w:val="sv-SE"/>
        </w:rPr>
        <w:t>I likhet med vad som gäller franchiseavgifter är den förutsättning att avgiften inte är beroende av försäljningsvolym eller liknande för att få ingå i de fasta kostnaderna.</w:t>
      </w:r>
    </w:p>
    <w:p w14:paraId="6F704643" w14:textId="0C855423" w:rsidR="00673E1A" w:rsidRDefault="00673E1A" w:rsidP="00673E1A">
      <w:pPr>
        <w:pStyle w:val="Rubrik2"/>
        <w:rPr>
          <w:lang w:val="sv-SE"/>
        </w:rPr>
      </w:pPr>
      <w:r>
        <w:rPr>
          <w:lang w:val="sv-SE"/>
        </w:rPr>
        <w:t>Omfattning av revisorsgranskning</w:t>
      </w:r>
    </w:p>
    <w:p w14:paraId="39A1A274" w14:textId="1917DB7D" w:rsidR="00655335" w:rsidRPr="00D0279D" w:rsidRDefault="00671450" w:rsidP="00EE7234">
      <w:pPr>
        <w:rPr>
          <w:lang w:val="sv-SE"/>
        </w:rPr>
      </w:pPr>
      <w:r>
        <w:rPr>
          <w:lang w:val="sv-SE"/>
        </w:rPr>
        <w:t>Enligt f</w:t>
      </w:r>
      <w:r w:rsidR="00542756" w:rsidRPr="00542756">
        <w:rPr>
          <w:lang w:val="sv-SE"/>
        </w:rPr>
        <w:t>örordning</w:t>
      </w:r>
      <w:r>
        <w:rPr>
          <w:lang w:val="sv-SE"/>
        </w:rPr>
        <w:t>en</w:t>
      </w:r>
      <w:r w:rsidR="00542756" w:rsidRPr="00542756">
        <w:rPr>
          <w:lang w:val="sv-SE"/>
        </w:rPr>
        <w:t xml:space="preserve"> om </w:t>
      </w:r>
      <w:r w:rsidR="00151FD9">
        <w:rPr>
          <w:lang w:val="sv-SE"/>
        </w:rPr>
        <w:t xml:space="preserve">ordinarie </w:t>
      </w:r>
      <w:r w:rsidR="00542756" w:rsidRPr="00542756">
        <w:rPr>
          <w:lang w:val="sv-SE"/>
        </w:rPr>
        <w:t xml:space="preserve">omställningsstöd (SFS 2021:126) § 8 </w:t>
      </w:r>
      <w:r>
        <w:rPr>
          <w:lang w:val="sv-SE"/>
        </w:rPr>
        <w:t xml:space="preserve">ska </w:t>
      </w:r>
      <w:r w:rsidR="00BF11DF" w:rsidRPr="00BF11DF">
        <w:rPr>
          <w:lang w:val="sv-SE"/>
        </w:rPr>
        <w:t xml:space="preserve">företaget </w:t>
      </w:r>
      <w:r w:rsidR="00BF11DF">
        <w:rPr>
          <w:lang w:val="sv-SE"/>
        </w:rPr>
        <w:t xml:space="preserve">lämna ett </w:t>
      </w:r>
      <w:r w:rsidR="00BF11DF" w:rsidRPr="00BF11DF">
        <w:rPr>
          <w:lang w:val="sv-SE"/>
        </w:rPr>
        <w:t>skriftligt, undertecknat yttrande från en revisor tillsammans med ansökan</w:t>
      </w:r>
      <w:r w:rsidR="00BF11DF">
        <w:rPr>
          <w:lang w:val="sv-SE"/>
        </w:rPr>
        <w:t xml:space="preserve"> om det </w:t>
      </w:r>
      <w:r w:rsidR="00542756" w:rsidRPr="00542756">
        <w:rPr>
          <w:lang w:val="sv-SE"/>
        </w:rPr>
        <w:t>sökta omställningsstödet uppgår till minst 100 000 kronor.</w:t>
      </w:r>
      <w:r w:rsidR="00542756">
        <w:rPr>
          <w:lang w:val="sv-SE"/>
        </w:rPr>
        <w:t xml:space="preserve"> </w:t>
      </w:r>
      <w:r w:rsidR="003C0008" w:rsidRPr="003C0008">
        <w:rPr>
          <w:lang w:val="sv-SE"/>
        </w:rPr>
        <w:t>Revisorn ska granska räkenskapsmaterial, sammanställningar och annat</w:t>
      </w:r>
      <w:r w:rsidR="003C0008">
        <w:rPr>
          <w:lang w:val="sv-SE"/>
        </w:rPr>
        <w:t xml:space="preserve"> </w:t>
      </w:r>
      <w:r w:rsidR="003C0008" w:rsidRPr="003C0008">
        <w:rPr>
          <w:lang w:val="sv-SE"/>
        </w:rPr>
        <w:t xml:space="preserve">underlag som ligger till grund för uppgifterna i ansökan. </w:t>
      </w:r>
      <w:r w:rsidR="005504BD">
        <w:rPr>
          <w:lang w:val="sv-SE"/>
        </w:rPr>
        <w:t xml:space="preserve">Granskningen ska genomföras enligt </w:t>
      </w:r>
      <w:r w:rsidR="00151FD9" w:rsidRPr="0093715D">
        <w:rPr>
          <w:i/>
          <w:iCs/>
          <w:lang w:val="sv-SE"/>
        </w:rPr>
        <w:t>ISRS</w:t>
      </w:r>
      <w:r w:rsidR="005504BD" w:rsidRPr="0093715D">
        <w:rPr>
          <w:i/>
          <w:iCs/>
          <w:lang w:val="sv-SE"/>
        </w:rPr>
        <w:t xml:space="preserve"> 4400 Uppdrag att utföra granskning enligt särskild överenskommelse</w:t>
      </w:r>
      <w:r w:rsidR="0093715D" w:rsidRPr="0093715D">
        <w:rPr>
          <w:i/>
          <w:iCs/>
          <w:lang w:val="sv-SE"/>
        </w:rPr>
        <w:t xml:space="preserve"> (omarbetad)</w:t>
      </w:r>
      <w:r w:rsidR="00A57BC8">
        <w:rPr>
          <w:lang w:val="sv-SE"/>
        </w:rPr>
        <w:t xml:space="preserve"> och </w:t>
      </w:r>
      <w:r w:rsidR="00A57BC8" w:rsidRPr="00A57BC8">
        <w:rPr>
          <w:lang w:val="sv-SE"/>
        </w:rPr>
        <w:t>utföras med professionell skepticism och vara så ingående och</w:t>
      </w:r>
      <w:r w:rsidR="00A57BC8">
        <w:rPr>
          <w:lang w:val="sv-SE"/>
        </w:rPr>
        <w:t xml:space="preserve"> </w:t>
      </w:r>
      <w:r w:rsidR="00A57BC8" w:rsidRPr="00A57BC8">
        <w:rPr>
          <w:lang w:val="sv-SE"/>
        </w:rPr>
        <w:t>omfattande som god revisionssed kräver</w:t>
      </w:r>
      <w:r w:rsidR="00A57BC8">
        <w:rPr>
          <w:lang w:val="sv-SE"/>
        </w:rPr>
        <w:t>. FAR har i samråd med Skatteverket utarbetat ett förslag på granskningsprogra</w:t>
      </w:r>
      <w:r w:rsidR="009956AD">
        <w:rPr>
          <w:lang w:val="sv-SE"/>
        </w:rPr>
        <w:t>m</w:t>
      </w:r>
      <w:r w:rsidR="004F22F3">
        <w:rPr>
          <w:lang w:val="sv-SE"/>
        </w:rPr>
        <w:t xml:space="preserve"> som </w:t>
      </w:r>
      <w:r w:rsidR="004E6DBC">
        <w:rPr>
          <w:lang w:val="sv-SE"/>
        </w:rPr>
        <w:t>uppfyller kraven i</w:t>
      </w:r>
      <w:r w:rsidR="004F22F3">
        <w:rPr>
          <w:lang w:val="sv-SE"/>
        </w:rPr>
        <w:t xml:space="preserve"> förordningen</w:t>
      </w:r>
      <w:r w:rsidR="004E6DBC">
        <w:rPr>
          <w:lang w:val="sv-SE"/>
        </w:rPr>
        <w:t>s 8 §</w:t>
      </w:r>
      <w:r w:rsidR="009956AD">
        <w:rPr>
          <w:lang w:val="sv-SE"/>
        </w:rPr>
        <w:t xml:space="preserve">. Anpassningar av </w:t>
      </w:r>
      <w:r w:rsidR="004E6DBC">
        <w:rPr>
          <w:lang w:val="sv-SE"/>
        </w:rPr>
        <w:t xml:space="preserve">de förslagna </w:t>
      </w:r>
      <w:r w:rsidR="009956AD">
        <w:rPr>
          <w:lang w:val="sv-SE"/>
        </w:rPr>
        <w:t xml:space="preserve">granskningsåtgärderna kan göras om så krävs i det enskilda fallet. </w:t>
      </w:r>
      <w:r w:rsidR="00F14CA3">
        <w:rPr>
          <w:lang w:val="sv-SE"/>
        </w:rPr>
        <w:t xml:space="preserve">I de granskningsåtgärder där revisorn </w:t>
      </w:r>
      <w:r w:rsidR="0097218A">
        <w:rPr>
          <w:lang w:val="sv-SE"/>
        </w:rPr>
        <w:t>ska ta</w:t>
      </w:r>
      <w:r w:rsidR="00F14CA3">
        <w:rPr>
          <w:lang w:val="sv-SE"/>
        </w:rPr>
        <w:t xml:space="preserve"> del av företagets </w:t>
      </w:r>
      <w:r w:rsidR="00F14CA3">
        <w:rPr>
          <w:lang w:val="sv-SE"/>
        </w:rPr>
        <w:lastRenderedPageBreak/>
        <w:t xml:space="preserve">sammanställning och avseende de </w:t>
      </w:r>
      <w:r w:rsidR="0097218A">
        <w:rPr>
          <w:lang w:val="sv-SE"/>
        </w:rPr>
        <w:t xml:space="preserve">[5/7/10] största posterna </w:t>
      </w:r>
      <w:r w:rsidR="00F14CA3" w:rsidRPr="00F14CA3">
        <w:rPr>
          <w:lang w:val="sv-SE"/>
        </w:rPr>
        <w:t>granska mot underlag</w:t>
      </w:r>
      <w:r w:rsidR="0097218A">
        <w:rPr>
          <w:lang w:val="sv-SE"/>
        </w:rPr>
        <w:t xml:space="preserve"> förutsätts att belopp</w:t>
      </w:r>
      <w:r w:rsidR="00676E07">
        <w:rPr>
          <w:lang w:val="sv-SE"/>
        </w:rPr>
        <w:t>en</w:t>
      </w:r>
      <w:r w:rsidR="004F22F3">
        <w:rPr>
          <w:lang w:val="sv-SE"/>
        </w:rPr>
        <w:t xml:space="preserve"> i granskade underlag </w:t>
      </w:r>
      <w:r w:rsidR="00A42A25">
        <w:rPr>
          <w:lang w:val="sv-SE"/>
        </w:rPr>
        <w:t>vid behov också</w:t>
      </w:r>
      <w:r w:rsidR="00440453">
        <w:rPr>
          <w:lang w:val="sv-SE"/>
        </w:rPr>
        <w:t xml:space="preserve"> </w:t>
      </w:r>
      <w:r w:rsidR="004F22F3">
        <w:rPr>
          <w:lang w:val="sv-SE"/>
        </w:rPr>
        <w:t>ska kontrollberäknas</w:t>
      </w:r>
      <w:r w:rsidR="00440453">
        <w:rPr>
          <w:lang w:val="sv-SE"/>
        </w:rPr>
        <w:t>.</w:t>
      </w:r>
      <w:r w:rsidR="00720C59">
        <w:rPr>
          <w:lang w:val="sv-SE"/>
        </w:rPr>
        <w:t xml:space="preserve"> </w:t>
      </w:r>
    </w:p>
    <w:p w14:paraId="1547AFB8" w14:textId="52F94CC7" w:rsidR="00381EEB" w:rsidRDefault="00091AAE" w:rsidP="00091AAE">
      <w:pPr>
        <w:pStyle w:val="Rubrik2"/>
        <w:rPr>
          <w:lang w:val="sv-SE"/>
        </w:rPr>
      </w:pPr>
      <w:r>
        <w:rPr>
          <w:lang w:val="sv-SE"/>
        </w:rPr>
        <w:t>Inlämning av ansökan</w:t>
      </w:r>
    </w:p>
    <w:p w14:paraId="41035518" w14:textId="4DFA5D5C" w:rsidR="00091AAE" w:rsidRPr="00091AAE" w:rsidRDefault="00091AAE" w:rsidP="00091AAE">
      <w:pPr>
        <w:rPr>
          <w:lang w:val="sv-SE"/>
        </w:rPr>
      </w:pPr>
      <w:r w:rsidRPr="0093715D">
        <w:rPr>
          <w:lang w:val="sv-SE"/>
        </w:rPr>
        <w:t>Ansökan om omställningsstöd ska göras elektroniskt på ett av Skatteverket fastställt formulär senast</w:t>
      </w:r>
      <w:r w:rsidR="006D55F1" w:rsidRPr="0093715D">
        <w:rPr>
          <w:lang w:val="sv-SE"/>
        </w:rPr>
        <w:t xml:space="preserve"> </w:t>
      </w:r>
      <w:r w:rsidR="002567D5" w:rsidRPr="0093715D">
        <w:rPr>
          <w:lang w:val="sv-SE"/>
        </w:rPr>
        <w:t>31</w:t>
      </w:r>
      <w:r w:rsidR="006572CA" w:rsidRPr="0093715D">
        <w:rPr>
          <w:lang w:val="sv-SE"/>
        </w:rPr>
        <w:t xml:space="preserve"> </w:t>
      </w:r>
      <w:r w:rsidR="004C5B76" w:rsidRPr="0093715D">
        <w:rPr>
          <w:lang w:val="sv-SE"/>
        </w:rPr>
        <w:t>mars 2022</w:t>
      </w:r>
      <w:r w:rsidR="006572CA" w:rsidRPr="0093715D">
        <w:rPr>
          <w:lang w:val="sv-SE"/>
        </w:rPr>
        <w:t xml:space="preserve"> </w:t>
      </w:r>
      <w:r w:rsidR="002567D5" w:rsidRPr="0093715D">
        <w:rPr>
          <w:lang w:val="sv-SE"/>
        </w:rPr>
        <w:t xml:space="preserve">avseende stödperioderna </w:t>
      </w:r>
      <w:r w:rsidR="00814390" w:rsidRPr="0093715D">
        <w:rPr>
          <w:lang w:val="sv-SE"/>
        </w:rPr>
        <w:t xml:space="preserve">december </w:t>
      </w:r>
      <w:r w:rsidR="002567D5" w:rsidRPr="0093715D">
        <w:rPr>
          <w:lang w:val="sv-SE"/>
        </w:rPr>
        <w:t xml:space="preserve">och </w:t>
      </w:r>
      <w:r w:rsidR="00814390" w:rsidRPr="0093715D">
        <w:rPr>
          <w:lang w:val="sv-SE"/>
        </w:rPr>
        <w:t xml:space="preserve">januari </w:t>
      </w:r>
      <w:r w:rsidR="002567D5" w:rsidRPr="0093715D">
        <w:rPr>
          <w:lang w:val="sv-SE"/>
        </w:rPr>
        <w:t>202</w:t>
      </w:r>
      <w:r w:rsidR="00814390" w:rsidRPr="0093715D">
        <w:rPr>
          <w:lang w:val="sv-SE"/>
        </w:rPr>
        <w:t>2</w:t>
      </w:r>
      <w:r w:rsidR="002567D5" w:rsidRPr="0093715D">
        <w:rPr>
          <w:lang w:val="sv-SE"/>
        </w:rPr>
        <w:t xml:space="preserve">, </w:t>
      </w:r>
      <w:r w:rsidR="00814390" w:rsidRPr="0093715D">
        <w:rPr>
          <w:lang w:val="sv-SE"/>
        </w:rPr>
        <w:t xml:space="preserve">13 april 2022 </w:t>
      </w:r>
      <w:r w:rsidR="002567D5" w:rsidRPr="0093715D">
        <w:rPr>
          <w:lang w:val="sv-SE"/>
        </w:rPr>
        <w:t xml:space="preserve">avseende stödperiod </w:t>
      </w:r>
      <w:r w:rsidR="00814390" w:rsidRPr="0093715D">
        <w:rPr>
          <w:lang w:val="sv-SE"/>
        </w:rPr>
        <w:t>februari 2022</w:t>
      </w:r>
      <w:r w:rsidR="009F349A" w:rsidRPr="0093715D">
        <w:rPr>
          <w:lang w:val="sv-SE"/>
        </w:rPr>
        <w:t>.</w:t>
      </w:r>
      <w:r w:rsidRPr="00CE01BE">
        <w:rPr>
          <w:lang w:val="sv-SE"/>
        </w:rPr>
        <w:t xml:space="preserve">Till ansökan ska även fogas revisorns yttrande. </w:t>
      </w:r>
    </w:p>
    <w:sectPr w:rsidR="00091AAE" w:rsidRPr="00091AAE" w:rsidSect="004A0E22">
      <w:headerReference w:type="default" r:id="rId11"/>
      <w:footerReference w:type="default" r:id="rId12"/>
      <w:pgSz w:w="11906" w:h="16838" w:code="9"/>
      <w:pgMar w:top="1418" w:right="851" w:bottom="1440" w:left="1985" w:header="720"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5AE47" w14:textId="77777777" w:rsidR="00546446" w:rsidRDefault="00546446" w:rsidP="002D6D46">
      <w:pPr>
        <w:spacing w:after="0"/>
      </w:pPr>
      <w:r>
        <w:separator/>
      </w:r>
    </w:p>
  </w:endnote>
  <w:endnote w:type="continuationSeparator" w:id="0">
    <w:p w14:paraId="0F5AB1B0" w14:textId="77777777" w:rsidR="00546446" w:rsidRDefault="00546446" w:rsidP="002D6D46">
      <w:pPr>
        <w:spacing w:after="0"/>
      </w:pPr>
      <w:r>
        <w:continuationSeparator/>
      </w:r>
    </w:p>
  </w:endnote>
  <w:endnote w:type="continuationNotice" w:id="1">
    <w:p w14:paraId="59DCB354" w14:textId="77777777" w:rsidR="00546446" w:rsidRDefault="005464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485E" w14:textId="3915CB78" w:rsidR="00B52D18" w:rsidRPr="004A0E22" w:rsidRDefault="00B52D18" w:rsidP="004A0E22">
    <w:pPr>
      <w:pBdr>
        <w:top w:val="nil"/>
        <w:left w:val="nil"/>
        <w:bottom w:val="nil"/>
        <w:right w:val="nil"/>
        <w:between w:val="nil"/>
      </w:pBdr>
      <w:spacing w:after="567"/>
      <w:jc w:val="center"/>
      <w:rPr>
        <w:sz w:val="18"/>
      </w:rPr>
    </w:pPr>
    <w:r w:rsidRPr="00E42D7E">
      <w:rPr>
        <w:sz w:val="18"/>
        <w:szCs w:val="18"/>
      </w:rPr>
      <w:fldChar w:fldCharType="begin"/>
    </w:r>
    <w:r w:rsidRPr="00E42D7E">
      <w:rPr>
        <w:sz w:val="18"/>
        <w:szCs w:val="18"/>
      </w:rPr>
      <w:instrText xml:space="preserve"> PAGE   \* MERGEFORMAT </w:instrText>
    </w:r>
    <w:r w:rsidRPr="00E42D7E">
      <w:rPr>
        <w:sz w:val="18"/>
        <w:szCs w:val="18"/>
      </w:rPr>
      <w:fldChar w:fldCharType="separate"/>
    </w:r>
    <w:r w:rsidRPr="00E42D7E">
      <w:rPr>
        <w:noProof/>
        <w:sz w:val="18"/>
        <w:szCs w:val="18"/>
      </w:rPr>
      <w:t>7</w:t>
    </w:r>
    <w:r w:rsidRPr="00E42D7E">
      <w:rPr>
        <w:sz w:val="18"/>
        <w:szCs w:val="18"/>
      </w:rPr>
      <w:fldChar w:fldCharType="end"/>
    </w:r>
    <w:r w:rsidRPr="00E42D7E">
      <w:rPr>
        <w:sz w:val="18"/>
        <w:szCs w:val="18"/>
      </w:rPr>
      <w:t xml:space="preserve"> (</w:t>
    </w:r>
    <w:r w:rsidRPr="00E42D7E">
      <w:rPr>
        <w:sz w:val="18"/>
        <w:szCs w:val="18"/>
      </w:rPr>
      <w:fldChar w:fldCharType="begin"/>
    </w:r>
    <w:r w:rsidRPr="00E42D7E">
      <w:rPr>
        <w:sz w:val="18"/>
        <w:szCs w:val="18"/>
      </w:rPr>
      <w:instrText xml:space="preserve"> NUMPAGES   \* MERGEFORMAT </w:instrText>
    </w:r>
    <w:r w:rsidRPr="00E42D7E">
      <w:rPr>
        <w:sz w:val="18"/>
        <w:szCs w:val="18"/>
      </w:rPr>
      <w:fldChar w:fldCharType="separate"/>
    </w:r>
    <w:r w:rsidRPr="00E42D7E">
      <w:rPr>
        <w:noProof/>
        <w:sz w:val="18"/>
        <w:szCs w:val="18"/>
      </w:rPr>
      <w:t>8</w:t>
    </w:r>
    <w:r w:rsidRPr="00E42D7E">
      <w:rPr>
        <w:sz w:val="18"/>
        <w:szCs w:val="18"/>
      </w:rPr>
      <w:fldChar w:fldCharType="end"/>
    </w:r>
    <w:r w:rsidRPr="00E42D7E">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13DAA" w14:textId="77777777" w:rsidR="00546446" w:rsidRDefault="00546446" w:rsidP="002D6D46">
      <w:pPr>
        <w:spacing w:after="0"/>
      </w:pPr>
      <w:r>
        <w:separator/>
      </w:r>
    </w:p>
  </w:footnote>
  <w:footnote w:type="continuationSeparator" w:id="0">
    <w:p w14:paraId="715712B2" w14:textId="77777777" w:rsidR="00546446" w:rsidRDefault="00546446" w:rsidP="002D6D46">
      <w:pPr>
        <w:spacing w:after="0"/>
      </w:pPr>
      <w:r>
        <w:continuationSeparator/>
      </w:r>
    </w:p>
  </w:footnote>
  <w:footnote w:type="continuationNotice" w:id="1">
    <w:p w14:paraId="0E5C84B2" w14:textId="77777777" w:rsidR="00546446" w:rsidRDefault="00546446">
      <w:pPr>
        <w:spacing w:after="0"/>
      </w:pPr>
    </w:p>
  </w:footnote>
  <w:footnote w:id="2">
    <w:p w14:paraId="10E1D921" w14:textId="4F845A10" w:rsidR="007B0D21" w:rsidRPr="007B0D21" w:rsidRDefault="007B0D21">
      <w:pPr>
        <w:pStyle w:val="Fotnotstext"/>
        <w:rPr>
          <w:lang w:val="sv-SE"/>
        </w:rPr>
      </w:pPr>
      <w:r>
        <w:rPr>
          <w:rStyle w:val="Fotnotsreferens"/>
        </w:rPr>
        <w:footnoteRef/>
      </w:r>
      <w:r>
        <w:t xml:space="preserve"> </w:t>
      </w:r>
      <w:r w:rsidRPr="007B0D21">
        <w:rPr>
          <w:rFonts w:ascii="Trebuchet MS" w:hAnsi="Trebuchet MS"/>
          <w:sz w:val="16"/>
          <w:szCs w:val="16"/>
          <w:lang w:val="sv-SE"/>
        </w:rPr>
        <w:t>Med försäljningsprovisioner avses arvode till leverantörer avseende</w:t>
      </w:r>
      <w:r>
        <w:rPr>
          <w:rFonts w:ascii="Trebuchet MS" w:hAnsi="Trebuchet MS"/>
          <w:sz w:val="16"/>
          <w:szCs w:val="16"/>
          <w:lang w:val="sv-SE"/>
        </w:rPr>
        <w:t xml:space="preserve"> </w:t>
      </w:r>
      <w:r w:rsidRPr="007B0D21">
        <w:rPr>
          <w:rFonts w:ascii="Trebuchet MS" w:hAnsi="Trebuchet MS"/>
          <w:sz w:val="16"/>
          <w:szCs w:val="16"/>
          <w:lang w:val="sv-SE"/>
        </w:rPr>
        <w:t>tjänster som är hänförliga till företagets försäljningsprocess, exempelvis arvode till bokningsagenter, betalkortsavgifter och marknadsföringsprovisioner, dock endast till den del arvodet ges per såld enhet eller i förhållande till försäljningsvolymen eller liknande.</w:t>
      </w:r>
    </w:p>
  </w:footnote>
  <w:footnote w:id="3">
    <w:p w14:paraId="40A143AA" w14:textId="3DAF8C4D" w:rsidR="00B52D18" w:rsidRPr="00262216" w:rsidRDefault="00B52D18">
      <w:pPr>
        <w:pStyle w:val="Fotnotstext"/>
        <w:rPr>
          <w:lang w:val="sv-SE"/>
        </w:rPr>
      </w:pPr>
      <w:r>
        <w:rPr>
          <w:rStyle w:val="Fotnotsreferens"/>
        </w:rPr>
        <w:footnoteRef/>
      </w:r>
      <w:r w:rsidRPr="0013248E">
        <w:rPr>
          <w:lang w:val="sv-SE"/>
        </w:rPr>
        <w:t xml:space="preserve"> </w:t>
      </w:r>
      <w:r w:rsidRPr="0013248E">
        <w:rPr>
          <w:rFonts w:ascii="Trebuchet MS" w:hAnsi="Trebuchet MS"/>
          <w:sz w:val="16"/>
          <w:szCs w:val="16"/>
          <w:lang w:val="sv-SE"/>
        </w:rPr>
        <w:t>Begreppet “verkställa” i samband med omställningsstöd behandlas i Skatteverkets rättsliga vägledning “</w:t>
      </w:r>
      <w:r w:rsidRPr="0013248E">
        <w:rPr>
          <w:rFonts w:ascii="Trebuchet MS" w:hAnsi="Trebuchet MS"/>
          <w:i/>
          <w:iCs/>
          <w:sz w:val="16"/>
          <w:szCs w:val="16"/>
          <w:lang w:val="sv-SE"/>
        </w:rPr>
        <w:t xml:space="preserve">Särskilt om vinstutdelning och andra värdeöverföringar”: </w:t>
      </w:r>
      <w:r w:rsidRPr="0013248E">
        <w:rPr>
          <w:rFonts w:ascii="Trebuchet MS" w:hAnsi="Trebuchet MS"/>
          <w:sz w:val="16"/>
          <w:szCs w:val="16"/>
          <w:lang w:val="sv-SE"/>
        </w:rPr>
        <w:t>Att verkställa ett beslut om värdeöverföring innebär i samband med omställn</w:t>
      </w:r>
      <w:r>
        <w:rPr>
          <w:rFonts w:ascii="Trebuchet MS" w:hAnsi="Trebuchet MS"/>
          <w:sz w:val="16"/>
          <w:szCs w:val="16"/>
          <w:lang w:val="sv-SE"/>
        </w:rPr>
        <w:t>i</w:t>
      </w:r>
      <w:r w:rsidRPr="0013248E">
        <w:rPr>
          <w:rFonts w:ascii="Trebuchet MS" w:hAnsi="Trebuchet MS"/>
          <w:sz w:val="16"/>
          <w:szCs w:val="16"/>
          <w:lang w:val="sv-SE"/>
        </w:rPr>
        <w:t>ngsstödet att den faktiska utbetalningen av värdeöverföringen görs.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4ED7" w14:textId="79EB1D0C" w:rsidR="00B52D18" w:rsidRPr="00792BBF" w:rsidRDefault="00B52D18" w:rsidP="009749D8">
    <w:pPr>
      <w:pStyle w:val="Sidhuvud"/>
      <w:ind w:left="1304"/>
      <w:rPr>
        <w:b/>
        <w:bCs/>
        <w:i/>
        <w:iCs/>
        <w:sz w:val="18"/>
        <w:szCs w:val="18"/>
        <w:lang w:val="sv-SE"/>
      </w:rPr>
    </w:pPr>
    <w:r>
      <w:rPr>
        <w:noProof/>
      </w:rPr>
      <w:drawing>
        <wp:anchor distT="0" distB="0" distL="114300" distR="114300" simplePos="0" relativeHeight="251658240" behindDoc="0" locked="1" layoutInCell="1" allowOverlap="1" wp14:anchorId="1A418C94" wp14:editId="057FD32D">
          <wp:simplePos x="0" y="0"/>
          <wp:positionH relativeFrom="margin">
            <wp:align>left</wp:align>
          </wp:positionH>
          <wp:positionV relativeFrom="page">
            <wp:posOffset>419100</wp:posOffset>
          </wp:positionV>
          <wp:extent cx="615315" cy="323850"/>
          <wp:effectExtent l="0" t="0" r="0" b="0"/>
          <wp:wrapNone/>
          <wp:docPr id="2" name="Bildobjekt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 cy="323850"/>
                  </a:xfrm>
                  <a:prstGeom prst="rect">
                    <a:avLst/>
                  </a:prstGeom>
                  <a:noFill/>
                </pic:spPr>
              </pic:pic>
            </a:graphicData>
          </a:graphic>
          <wp14:sizeRelH relativeFrom="page">
            <wp14:pctWidth>0</wp14:pctWidth>
          </wp14:sizeRelH>
          <wp14:sizeRelV relativeFrom="page">
            <wp14:pctHeight>0</wp14:pctHeight>
          </wp14:sizeRelV>
        </wp:anchor>
      </w:drawing>
    </w:r>
    <w:r w:rsidRPr="33D65166">
      <w:rPr>
        <w:b/>
        <w:bCs/>
        <w:i/>
        <w:iCs/>
        <w:sz w:val="18"/>
        <w:szCs w:val="18"/>
        <w:lang w:val="sv-SE"/>
      </w:rPr>
      <w:t>Omställningsstöd – tankar kring revision av stödet – framtagen av FAR:s Normgivningsgrupp Revision</w:t>
    </w:r>
  </w:p>
  <w:p w14:paraId="1D2E43FB" w14:textId="77777777" w:rsidR="00B52D18" w:rsidRPr="004A0E22" w:rsidRDefault="00B52D18">
    <w:pPr>
      <w:pBdr>
        <w:top w:val="nil"/>
        <w:left w:val="nil"/>
        <w:bottom w:val="nil"/>
        <w:right w:val="nil"/>
        <w:between w:val="nil"/>
      </w:pBdr>
      <w:spacing w:after="0"/>
      <w:rPr>
        <w:vanish/>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BF7"/>
    <w:multiLevelType w:val="hybridMultilevel"/>
    <w:tmpl w:val="020E1748"/>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1D351EA5"/>
    <w:multiLevelType w:val="hybridMultilevel"/>
    <w:tmpl w:val="B78298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F855893"/>
    <w:multiLevelType w:val="hybridMultilevel"/>
    <w:tmpl w:val="9CE2363A"/>
    <w:lvl w:ilvl="0" w:tplc="1C1CD06E">
      <w:start w:val="1"/>
      <w:numFmt w:val="bullet"/>
      <w:lvlText w:val=""/>
      <w:lvlJc w:val="left"/>
      <w:pPr>
        <w:tabs>
          <w:tab w:val="num" w:pos="720"/>
        </w:tabs>
        <w:ind w:left="720" w:hanging="360"/>
      </w:pPr>
      <w:rPr>
        <w:rFonts w:ascii="Symbol" w:hAnsi="Symbol" w:hint="default"/>
        <w:sz w:val="20"/>
      </w:rPr>
    </w:lvl>
    <w:lvl w:ilvl="1" w:tplc="965001FE" w:tentative="1">
      <w:start w:val="1"/>
      <w:numFmt w:val="bullet"/>
      <w:lvlText w:val="o"/>
      <w:lvlJc w:val="left"/>
      <w:pPr>
        <w:tabs>
          <w:tab w:val="num" w:pos="1440"/>
        </w:tabs>
        <w:ind w:left="1440" w:hanging="360"/>
      </w:pPr>
      <w:rPr>
        <w:rFonts w:ascii="Courier New" w:hAnsi="Courier New" w:hint="default"/>
        <w:sz w:val="20"/>
      </w:rPr>
    </w:lvl>
    <w:lvl w:ilvl="2" w:tplc="DFAC67D4" w:tentative="1">
      <w:start w:val="1"/>
      <w:numFmt w:val="bullet"/>
      <w:lvlText w:val=""/>
      <w:lvlJc w:val="left"/>
      <w:pPr>
        <w:tabs>
          <w:tab w:val="num" w:pos="2160"/>
        </w:tabs>
        <w:ind w:left="2160" w:hanging="360"/>
      </w:pPr>
      <w:rPr>
        <w:rFonts w:ascii="Wingdings" w:hAnsi="Wingdings" w:hint="default"/>
        <w:sz w:val="20"/>
      </w:rPr>
    </w:lvl>
    <w:lvl w:ilvl="3" w:tplc="AC0008D6" w:tentative="1">
      <w:start w:val="1"/>
      <w:numFmt w:val="bullet"/>
      <w:lvlText w:val=""/>
      <w:lvlJc w:val="left"/>
      <w:pPr>
        <w:tabs>
          <w:tab w:val="num" w:pos="2880"/>
        </w:tabs>
        <w:ind w:left="2880" w:hanging="360"/>
      </w:pPr>
      <w:rPr>
        <w:rFonts w:ascii="Wingdings" w:hAnsi="Wingdings" w:hint="default"/>
        <w:sz w:val="20"/>
      </w:rPr>
    </w:lvl>
    <w:lvl w:ilvl="4" w:tplc="73A0411A" w:tentative="1">
      <w:start w:val="1"/>
      <w:numFmt w:val="bullet"/>
      <w:lvlText w:val=""/>
      <w:lvlJc w:val="left"/>
      <w:pPr>
        <w:tabs>
          <w:tab w:val="num" w:pos="3600"/>
        </w:tabs>
        <w:ind w:left="3600" w:hanging="360"/>
      </w:pPr>
      <w:rPr>
        <w:rFonts w:ascii="Wingdings" w:hAnsi="Wingdings" w:hint="default"/>
        <w:sz w:val="20"/>
      </w:rPr>
    </w:lvl>
    <w:lvl w:ilvl="5" w:tplc="15CEBFC6" w:tentative="1">
      <w:start w:val="1"/>
      <w:numFmt w:val="bullet"/>
      <w:lvlText w:val=""/>
      <w:lvlJc w:val="left"/>
      <w:pPr>
        <w:tabs>
          <w:tab w:val="num" w:pos="4320"/>
        </w:tabs>
        <w:ind w:left="4320" w:hanging="360"/>
      </w:pPr>
      <w:rPr>
        <w:rFonts w:ascii="Wingdings" w:hAnsi="Wingdings" w:hint="default"/>
        <w:sz w:val="20"/>
      </w:rPr>
    </w:lvl>
    <w:lvl w:ilvl="6" w:tplc="8CCABEB2" w:tentative="1">
      <w:start w:val="1"/>
      <w:numFmt w:val="bullet"/>
      <w:lvlText w:val=""/>
      <w:lvlJc w:val="left"/>
      <w:pPr>
        <w:tabs>
          <w:tab w:val="num" w:pos="5040"/>
        </w:tabs>
        <w:ind w:left="5040" w:hanging="360"/>
      </w:pPr>
      <w:rPr>
        <w:rFonts w:ascii="Wingdings" w:hAnsi="Wingdings" w:hint="default"/>
        <w:sz w:val="20"/>
      </w:rPr>
    </w:lvl>
    <w:lvl w:ilvl="7" w:tplc="5DAE5DC6" w:tentative="1">
      <w:start w:val="1"/>
      <w:numFmt w:val="bullet"/>
      <w:lvlText w:val=""/>
      <w:lvlJc w:val="left"/>
      <w:pPr>
        <w:tabs>
          <w:tab w:val="num" w:pos="5760"/>
        </w:tabs>
        <w:ind w:left="5760" w:hanging="360"/>
      </w:pPr>
      <w:rPr>
        <w:rFonts w:ascii="Wingdings" w:hAnsi="Wingdings" w:hint="default"/>
        <w:sz w:val="20"/>
      </w:rPr>
    </w:lvl>
    <w:lvl w:ilvl="8" w:tplc="DC8A1BD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154A8B"/>
    <w:multiLevelType w:val="hybridMultilevel"/>
    <w:tmpl w:val="01EE6F5E"/>
    <w:lvl w:ilvl="0" w:tplc="DF984EEC">
      <w:start w:val="1"/>
      <w:numFmt w:val="decimal"/>
      <w:lvlText w:val="%1."/>
      <w:lvlJc w:val="left"/>
      <w:pPr>
        <w:tabs>
          <w:tab w:val="num" w:pos="720"/>
        </w:tabs>
        <w:ind w:left="720" w:hanging="360"/>
      </w:pPr>
    </w:lvl>
    <w:lvl w:ilvl="1" w:tplc="169A6DD4" w:tentative="1">
      <w:start w:val="1"/>
      <w:numFmt w:val="decimal"/>
      <w:lvlText w:val="%2."/>
      <w:lvlJc w:val="left"/>
      <w:pPr>
        <w:tabs>
          <w:tab w:val="num" w:pos="1440"/>
        </w:tabs>
        <w:ind w:left="1440" w:hanging="360"/>
      </w:pPr>
    </w:lvl>
    <w:lvl w:ilvl="2" w:tplc="D23CC504" w:tentative="1">
      <w:start w:val="1"/>
      <w:numFmt w:val="decimal"/>
      <w:lvlText w:val="%3."/>
      <w:lvlJc w:val="left"/>
      <w:pPr>
        <w:tabs>
          <w:tab w:val="num" w:pos="2160"/>
        </w:tabs>
        <w:ind w:left="2160" w:hanging="360"/>
      </w:pPr>
    </w:lvl>
    <w:lvl w:ilvl="3" w:tplc="C9FAF580" w:tentative="1">
      <w:start w:val="1"/>
      <w:numFmt w:val="decimal"/>
      <w:lvlText w:val="%4."/>
      <w:lvlJc w:val="left"/>
      <w:pPr>
        <w:tabs>
          <w:tab w:val="num" w:pos="2880"/>
        </w:tabs>
        <w:ind w:left="2880" w:hanging="360"/>
      </w:pPr>
    </w:lvl>
    <w:lvl w:ilvl="4" w:tplc="B338F84E" w:tentative="1">
      <w:start w:val="1"/>
      <w:numFmt w:val="decimal"/>
      <w:lvlText w:val="%5."/>
      <w:lvlJc w:val="left"/>
      <w:pPr>
        <w:tabs>
          <w:tab w:val="num" w:pos="3600"/>
        </w:tabs>
        <w:ind w:left="3600" w:hanging="360"/>
      </w:pPr>
    </w:lvl>
    <w:lvl w:ilvl="5" w:tplc="565445AA" w:tentative="1">
      <w:start w:val="1"/>
      <w:numFmt w:val="decimal"/>
      <w:lvlText w:val="%6."/>
      <w:lvlJc w:val="left"/>
      <w:pPr>
        <w:tabs>
          <w:tab w:val="num" w:pos="4320"/>
        </w:tabs>
        <w:ind w:left="4320" w:hanging="360"/>
      </w:pPr>
    </w:lvl>
    <w:lvl w:ilvl="6" w:tplc="1DDAB30A" w:tentative="1">
      <w:start w:val="1"/>
      <w:numFmt w:val="decimal"/>
      <w:lvlText w:val="%7."/>
      <w:lvlJc w:val="left"/>
      <w:pPr>
        <w:tabs>
          <w:tab w:val="num" w:pos="5040"/>
        </w:tabs>
        <w:ind w:left="5040" w:hanging="360"/>
      </w:pPr>
    </w:lvl>
    <w:lvl w:ilvl="7" w:tplc="35E27384" w:tentative="1">
      <w:start w:val="1"/>
      <w:numFmt w:val="decimal"/>
      <w:lvlText w:val="%8."/>
      <w:lvlJc w:val="left"/>
      <w:pPr>
        <w:tabs>
          <w:tab w:val="num" w:pos="5760"/>
        </w:tabs>
        <w:ind w:left="5760" w:hanging="360"/>
      </w:pPr>
    </w:lvl>
    <w:lvl w:ilvl="8" w:tplc="022A583A" w:tentative="1">
      <w:start w:val="1"/>
      <w:numFmt w:val="decimal"/>
      <w:lvlText w:val="%9."/>
      <w:lvlJc w:val="left"/>
      <w:pPr>
        <w:tabs>
          <w:tab w:val="num" w:pos="6480"/>
        </w:tabs>
        <w:ind w:left="6480" w:hanging="360"/>
      </w:pPr>
    </w:lvl>
  </w:abstractNum>
  <w:abstractNum w:abstractNumId="4" w15:restartNumberingAfterBreak="0">
    <w:nsid w:val="38B77692"/>
    <w:multiLevelType w:val="hybridMultilevel"/>
    <w:tmpl w:val="076CFF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1522DE7"/>
    <w:multiLevelType w:val="hybridMultilevel"/>
    <w:tmpl w:val="7A36E13A"/>
    <w:lvl w:ilvl="0" w:tplc="66229B8A">
      <w:numFmt w:val="bullet"/>
      <w:lvlText w:val="-"/>
      <w:lvlJc w:val="left"/>
      <w:pPr>
        <w:ind w:left="720" w:hanging="360"/>
      </w:pPr>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60F75D0"/>
    <w:multiLevelType w:val="hybridMultilevel"/>
    <w:tmpl w:val="1FFAFEB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C121999"/>
    <w:multiLevelType w:val="hybridMultilevel"/>
    <w:tmpl w:val="637270A8"/>
    <w:lvl w:ilvl="0" w:tplc="287466E0">
      <w:start w:val="1"/>
      <w:numFmt w:val="bullet"/>
      <w:lvlText w:val="●"/>
      <w:lvlJc w:val="left"/>
      <w:pPr>
        <w:ind w:left="720" w:hanging="360"/>
      </w:pPr>
      <w:rPr>
        <w:u w:val="none"/>
      </w:rPr>
    </w:lvl>
    <w:lvl w:ilvl="1" w:tplc="34CCF886">
      <w:start w:val="1"/>
      <w:numFmt w:val="bullet"/>
      <w:lvlText w:val="○"/>
      <w:lvlJc w:val="left"/>
      <w:pPr>
        <w:ind w:left="1440" w:hanging="360"/>
      </w:pPr>
      <w:rPr>
        <w:u w:val="none"/>
      </w:rPr>
    </w:lvl>
    <w:lvl w:ilvl="2" w:tplc="F4B45E30">
      <w:start w:val="1"/>
      <w:numFmt w:val="bullet"/>
      <w:lvlText w:val="■"/>
      <w:lvlJc w:val="left"/>
      <w:pPr>
        <w:ind w:left="2160" w:hanging="360"/>
      </w:pPr>
      <w:rPr>
        <w:u w:val="none"/>
      </w:rPr>
    </w:lvl>
    <w:lvl w:ilvl="3" w:tplc="D88C356A">
      <w:start w:val="1"/>
      <w:numFmt w:val="bullet"/>
      <w:lvlText w:val="●"/>
      <w:lvlJc w:val="left"/>
      <w:pPr>
        <w:ind w:left="2880" w:hanging="360"/>
      </w:pPr>
      <w:rPr>
        <w:u w:val="none"/>
      </w:rPr>
    </w:lvl>
    <w:lvl w:ilvl="4" w:tplc="B3880012">
      <w:start w:val="1"/>
      <w:numFmt w:val="bullet"/>
      <w:lvlText w:val="○"/>
      <w:lvlJc w:val="left"/>
      <w:pPr>
        <w:ind w:left="3600" w:hanging="360"/>
      </w:pPr>
      <w:rPr>
        <w:u w:val="none"/>
      </w:rPr>
    </w:lvl>
    <w:lvl w:ilvl="5" w:tplc="1F44BF3E">
      <w:start w:val="1"/>
      <w:numFmt w:val="bullet"/>
      <w:lvlText w:val="■"/>
      <w:lvlJc w:val="left"/>
      <w:pPr>
        <w:ind w:left="4320" w:hanging="360"/>
      </w:pPr>
      <w:rPr>
        <w:u w:val="none"/>
      </w:rPr>
    </w:lvl>
    <w:lvl w:ilvl="6" w:tplc="41523414">
      <w:start w:val="1"/>
      <w:numFmt w:val="bullet"/>
      <w:lvlText w:val="●"/>
      <w:lvlJc w:val="left"/>
      <w:pPr>
        <w:ind w:left="5040" w:hanging="360"/>
      </w:pPr>
      <w:rPr>
        <w:u w:val="none"/>
      </w:rPr>
    </w:lvl>
    <w:lvl w:ilvl="7" w:tplc="7546713A">
      <w:start w:val="1"/>
      <w:numFmt w:val="bullet"/>
      <w:lvlText w:val="○"/>
      <w:lvlJc w:val="left"/>
      <w:pPr>
        <w:ind w:left="5760" w:hanging="360"/>
      </w:pPr>
      <w:rPr>
        <w:u w:val="none"/>
      </w:rPr>
    </w:lvl>
    <w:lvl w:ilvl="8" w:tplc="551A437C">
      <w:start w:val="1"/>
      <w:numFmt w:val="bullet"/>
      <w:lvlText w:val="■"/>
      <w:lvlJc w:val="left"/>
      <w:pPr>
        <w:ind w:left="6480" w:hanging="360"/>
      </w:pPr>
      <w:rPr>
        <w:u w:val="none"/>
      </w:rPr>
    </w:lvl>
  </w:abstractNum>
  <w:abstractNum w:abstractNumId="8" w15:restartNumberingAfterBreak="0">
    <w:nsid w:val="69093F57"/>
    <w:multiLevelType w:val="hybridMultilevel"/>
    <w:tmpl w:val="73A8598E"/>
    <w:lvl w:ilvl="0" w:tplc="0AF81D22">
      <w:start w:val="1"/>
      <w:numFmt w:val="bullet"/>
      <w:lvlText w:val=""/>
      <w:lvlJc w:val="left"/>
      <w:pPr>
        <w:tabs>
          <w:tab w:val="num" w:pos="720"/>
        </w:tabs>
        <w:ind w:left="720" w:hanging="360"/>
      </w:pPr>
      <w:rPr>
        <w:rFonts w:ascii="Symbol" w:hAnsi="Symbol" w:hint="default"/>
        <w:sz w:val="20"/>
      </w:rPr>
    </w:lvl>
    <w:lvl w:ilvl="1" w:tplc="F53CA4FA" w:tentative="1">
      <w:start w:val="1"/>
      <w:numFmt w:val="bullet"/>
      <w:lvlText w:val="o"/>
      <w:lvlJc w:val="left"/>
      <w:pPr>
        <w:tabs>
          <w:tab w:val="num" w:pos="1440"/>
        </w:tabs>
        <w:ind w:left="1440" w:hanging="360"/>
      </w:pPr>
      <w:rPr>
        <w:rFonts w:ascii="Courier New" w:hAnsi="Courier New" w:hint="default"/>
        <w:sz w:val="20"/>
      </w:rPr>
    </w:lvl>
    <w:lvl w:ilvl="2" w:tplc="8B84E142" w:tentative="1">
      <w:start w:val="1"/>
      <w:numFmt w:val="bullet"/>
      <w:lvlText w:val=""/>
      <w:lvlJc w:val="left"/>
      <w:pPr>
        <w:tabs>
          <w:tab w:val="num" w:pos="2160"/>
        </w:tabs>
        <w:ind w:left="2160" w:hanging="360"/>
      </w:pPr>
      <w:rPr>
        <w:rFonts w:ascii="Wingdings" w:hAnsi="Wingdings" w:hint="default"/>
        <w:sz w:val="20"/>
      </w:rPr>
    </w:lvl>
    <w:lvl w:ilvl="3" w:tplc="4E661D18" w:tentative="1">
      <w:start w:val="1"/>
      <w:numFmt w:val="bullet"/>
      <w:lvlText w:val=""/>
      <w:lvlJc w:val="left"/>
      <w:pPr>
        <w:tabs>
          <w:tab w:val="num" w:pos="2880"/>
        </w:tabs>
        <w:ind w:left="2880" w:hanging="360"/>
      </w:pPr>
      <w:rPr>
        <w:rFonts w:ascii="Wingdings" w:hAnsi="Wingdings" w:hint="default"/>
        <w:sz w:val="20"/>
      </w:rPr>
    </w:lvl>
    <w:lvl w:ilvl="4" w:tplc="874264D0" w:tentative="1">
      <w:start w:val="1"/>
      <w:numFmt w:val="bullet"/>
      <w:lvlText w:val=""/>
      <w:lvlJc w:val="left"/>
      <w:pPr>
        <w:tabs>
          <w:tab w:val="num" w:pos="3600"/>
        </w:tabs>
        <w:ind w:left="3600" w:hanging="360"/>
      </w:pPr>
      <w:rPr>
        <w:rFonts w:ascii="Wingdings" w:hAnsi="Wingdings" w:hint="default"/>
        <w:sz w:val="20"/>
      </w:rPr>
    </w:lvl>
    <w:lvl w:ilvl="5" w:tplc="F3D60554" w:tentative="1">
      <w:start w:val="1"/>
      <w:numFmt w:val="bullet"/>
      <w:lvlText w:val=""/>
      <w:lvlJc w:val="left"/>
      <w:pPr>
        <w:tabs>
          <w:tab w:val="num" w:pos="4320"/>
        </w:tabs>
        <w:ind w:left="4320" w:hanging="360"/>
      </w:pPr>
      <w:rPr>
        <w:rFonts w:ascii="Wingdings" w:hAnsi="Wingdings" w:hint="default"/>
        <w:sz w:val="20"/>
      </w:rPr>
    </w:lvl>
    <w:lvl w:ilvl="6" w:tplc="A56C8F4C" w:tentative="1">
      <w:start w:val="1"/>
      <w:numFmt w:val="bullet"/>
      <w:lvlText w:val=""/>
      <w:lvlJc w:val="left"/>
      <w:pPr>
        <w:tabs>
          <w:tab w:val="num" w:pos="5040"/>
        </w:tabs>
        <w:ind w:left="5040" w:hanging="360"/>
      </w:pPr>
      <w:rPr>
        <w:rFonts w:ascii="Wingdings" w:hAnsi="Wingdings" w:hint="default"/>
        <w:sz w:val="20"/>
      </w:rPr>
    </w:lvl>
    <w:lvl w:ilvl="7" w:tplc="F15E2C38" w:tentative="1">
      <w:start w:val="1"/>
      <w:numFmt w:val="bullet"/>
      <w:lvlText w:val=""/>
      <w:lvlJc w:val="left"/>
      <w:pPr>
        <w:tabs>
          <w:tab w:val="num" w:pos="5760"/>
        </w:tabs>
        <w:ind w:left="5760" w:hanging="360"/>
      </w:pPr>
      <w:rPr>
        <w:rFonts w:ascii="Wingdings" w:hAnsi="Wingdings" w:hint="default"/>
        <w:sz w:val="20"/>
      </w:rPr>
    </w:lvl>
    <w:lvl w:ilvl="8" w:tplc="C822509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A21B73"/>
    <w:multiLevelType w:val="hybridMultilevel"/>
    <w:tmpl w:val="CA48D5A0"/>
    <w:lvl w:ilvl="0" w:tplc="FFFFFFFF">
      <w:start w:val="1"/>
      <w:numFmt w:val="bullet"/>
      <w:lvlText w:val="-"/>
      <w:lvlJc w:val="left"/>
      <w:pPr>
        <w:ind w:left="720" w:hanging="360"/>
      </w:pPr>
      <w:rPr>
        <w:rFonts w:ascii="Arial" w:hAnsi="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18D0AA0"/>
    <w:multiLevelType w:val="hybridMultilevel"/>
    <w:tmpl w:val="7A604F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5A91B96"/>
    <w:multiLevelType w:val="hybridMultilevel"/>
    <w:tmpl w:val="FFFFFFFF"/>
    <w:lvl w:ilvl="0" w:tplc="FBDE113C">
      <w:start w:val="1"/>
      <w:numFmt w:val="bullet"/>
      <w:lvlText w:val="-"/>
      <w:lvlJc w:val="left"/>
      <w:pPr>
        <w:ind w:left="720" w:hanging="360"/>
      </w:pPr>
      <w:rPr>
        <w:rFonts w:ascii="Calibri" w:hAnsi="Calibri" w:hint="default"/>
      </w:rPr>
    </w:lvl>
    <w:lvl w:ilvl="1" w:tplc="9F724BB0">
      <w:start w:val="1"/>
      <w:numFmt w:val="bullet"/>
      <w:lvlText w:val="o"/>
      <w:lvlJc w:val="left"/>
      <w:pPr>
        <w:ind w:left="1440" w:hanging="360"/>
      </w:pPr>
      <w:rPr>
        <w:rFonts w:ascii="Courier New" w:hAnsi="Courier New" w:hint="default"/>
      </w:rPr>
    </w:lvl>
    <w:lvl w:ilvl="2" w:tplc="1B7CA292">
      <w:start w:val="1"/>
      <w:numFmt w:val="bullet"/>
      <w:lvlText w:val=""/>
      <w:lvlJc w:val="left"/>
      <w:pPr>
        <w:ind w:left="2160" w:hanging="360"/>
      </w:pPr>
      <w:rPr>
        <w:rFonts w:ascii="Wingdings" w:hAnsi="Wingdings" w:hint="default"/>
      </w:rPr>
    </w:lvl>
    <w:lvl w:ilvl="3" w:tplc="34285A66">
      <w:start w:val="1"/>
      <w:numFmt w:val="bullet"/>
      <w:lvlText w:val=""/>
      <w:lvlJc w:val="left"/>
      <w:pPr>
        <w:ind w:left="2880" w:hanging="360"/>
      </w:pPr>
      <w:rPr>
        <w:rFonts w:ascii="Symbol" w:hAnsi="Symbol" w:hint="default"/>
      </w:rPr>
    </w:lvl>
    <w:lvl w:ilvl="4" w:tplc="815C4FFA">
      <w:start w:val="1"/>
      <w:numFmt w:val="bullet"/>
      <w:lvlText w:val="o"/>
      <w:lvlJc w:val="left"/>
      <w:pPr>
        <w:ind w:left="3600" w:hanging="360"/>
      </w:pPr>
      <w:rPr>
        <w:rFonts w:ascii="Courier New" w:hAnsi="Courier New" w:hint="default"/>
      </w:rPr>
    </w:lvl>
    <w:lvl w:ilvl="5" w:tplc="BBCC36BA">
      <w:start w:val="1"/>
      <w:numFmt w:val="bullet"/>
      <w:lvlText w:val=""/>
      <w:lvlJc w:val="left"/>
      <w:pPr>
        <w:ind w:left="4320" w:hanging="360"/>
      </w:pPr>
      <w:rPr>
        <w:rFonts w:ascii="Wingdings" w:hAnsi="Wingdings" w:hint="default"/>
      </w:rPr>
    </w:lvl>
    <w:lvl w:ilvl="6" w:tplc="03681C50">
      <w:start w:val="1"/>
      <w:numFmt w:val="bullet"/>
      <w:lvlText w:val=""/>
      <w:lvlJc w:val="left"/>
      <w:pPr>
        <w:ind w:left="5040" w:hanging="360"/>
      </w:pPr>
      <w:rPr>
        <w:rFonts w:ascii="Symbol" w:hAnsi="Symbol" w:hint="default"/>
      </w:rPr>
    </w:lvl>
    <w:lvl w:ilvl="7" w:tplc="8A544C9C">
      <w:start w:val="1"/>
      <w:numFmt w:val="bullet"/>
      <w:lvlText w:val="o"/>
      <w:lvlJc w:val="left"/>
      <w:pPr>
        <w:ind w:left="5760" w:hanging="360"/>
      </w:pPr>
      <w:rPr>
        <w:rFonts w:ascii="Courier New" w:hAnsi="Courier New" w:hint="default"/>
      </w:rPr>
    </w:lvl>
    <w:lvl w:ilvl="8" w:tplc="7CBCCE3E">
      <w:start w:val="1"/>
      <w:numFmt w:val="bullet"/>
      <w:lvlText w:val=""/>
      <w:lvlJc w:val="left"/>
      <w:pPr>
        <w:ind w:left="6480" w:hanging="360"/>
      </w:pPr>
      <w:rPr>
        <w:rFonts w:ascii="Wingdings" w:hAnsi="Wingdings" w:hint="default"/>
      </w:rPr>
    </w:lvl>
  </w:abstractNum>
  <w:abstractNum w:abstractNumId="12" w15:restartNumberingAfterBreak="0">
    <w:nsid w:val="7B46121F"/>
    <w:multiLevelType w:val="multilevel"/>
    <w:tmpl w:val="E45E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
  </w:num>
  <w:num w:numId="4">
    <w:abstractNumId w:val="9"/>
  </w:num>
  <w:num w:numId="5">
    <w:abstractNumId w:val="5"/>
  </w:num>
  <w:num w:numId="6">
    <w:abstractNumId w:val="6"/>
  </w:num>
  <w:num w:numId="7">
    <w:abstractNumId w:val="4"/>
  </w:num>
  <w:num w:numId="8">
    <w:abstractNumId w:val="10"/>
  </w:num>
  <w:num w:numId="9">
    <w:abstractNumId w:val="7"/>
  </w:num>
  <w:num w:numId="10">
    <w:abstractNumId w:val="3"/>
  </w:num>
  <w:num w:numId="11">
    <w:abstractNumId w:val="2"/>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724"/>
    <w:rsid w:val="000006B4"/>
    <w:rsid w:val="00010493"/>
    <w:rsid w:val="000105A8"/>
    <w:rsid w:val="00015FCF"/>
    <w:rsid w:val="000303BD"/>
    <w:rsid w:val="000311E5"/>
    <w:rsid w:val="000369A6"/>
    <w:rsid w:val="0005015C"/>
    <w:rsid w:val="00052EA6"/>
    <w:rsid w:val="000536CC"/>
    <w:rsid w:val="0006093E"/>
    <w:rsid w:val="0006113B"/>
    <w:rsid w:val="00063E01"/>
    <w:rsid w:val="0006447E"/>
    <w:rsid w:val="000647F6"/>
    <w:rsid w:val="00080138"/>
    <w:rsid w:val="000863C0"/>
    <w:rsid w:val="0008641E"/>
    <w:rsid w:val="00091AAE"/>
    <w:rsid w:val="000940BD"/>
    <w:rsid w:val="00097791"/>
    <w:rsid w:val="000C2F97"/>
    <w:rsid w:val="000C6C78"/>
    <w:rsid w:val="000C7375"/>
    <w:rsid w:val="000D09D0"/>
    <w:rsid w:val="000D5841"/>
    <w:rsid w:val="000D6476"/>
    <w:rsid w:val="000D69C3"/>
    <w:rsid w:val="000E0874"/>
    <w:rsid w:val="000E6411"/>
    <w:rsid w:val="000F4765"/>
    <w:rsid w:val="000F5E3C"/>
    <w:rsid w:val="000F6D4E"/>
    <w:rsid w:val="001001C9"/>
    <w:rsid w:val="0012509D"/>
    <w:rsid w:val="0013248E"/>
    <w:rsid w:val="001335B8"/>
    <w:rsid w:val="0013436D"/>
    <w:rsid w:val="00137CA2"/>
    <w:rsid w:val="0014278C"/>
    <w:rsid w:val="00143C55"/>
    <w:rsid w:val="00151FD9"/>
    <w:rsid w:val="001544F7"/>
    <w:rsid w:val="00165CF8"/>
    <w:rsid w:val="0017127D"/>
    <w:rsid w:val="00180954"/>
    <w:rsid w:val="001815CF"/>
    <w:rsid w:val="0018524E"/>
    <w:rsid w:val="0018693F"/>
    <w:rsid w:val="00193244"/>
    <w:rsid w:val="001966CC"/>
    <w:rsid w:val="001A22D8"/>
    <w:rsid w:val="001B5EC5"/>
    <w:rsid w:val="001B79D5"/>
    <w:rsid w:val="001C076E"/>
    <w:rsid w:val="001C1B1A"/>
    <w:rsid w:val="001C4F24"/>
    <w:rsid w:val="001C50BB"/>
    <w:rsid w:val="001D2F60"/>
    <w:rsid w:val="001E3106"/>
    <w:rsid w:val="001F17C8"/>
    <w:rsid w:val="001F3AAD"/>
    <w:rsid w:val="001F40F9"/>
    <w:rsid w:val="001F61A0"/>
    <w:rsid w:val="002000CC"/>
    <w:rsid w:val="00217856"/>
    <w:rsid w:val="0022003F"/>
    <w:rsid w:val="00221C51"/>
    <w:rsid w:val="00222306"/>
    <w:rsid w:val="00225129"/>
    <w:rsid w:val="0023465B"/>
    <w:rsid w:val="00236891"/>
    <w:rsid w:val="00247940"/>
    <w:rsid w:val="002500C4"/>
    <w:rsid w:val="00254634"/>
    <w:rsid w:val="002567D5"/>
    <w:rsid w:val="00262216"/>
    <w:rsid w:val="002649B8"/>
    <w:rsid w:val="002664FD"/>
    <w:rsid w:val="00271737"/>
    <w:rsid w:val="00283C54"/>
    <w:rsid w:val="00284300"/>
    <w:rsid w:val="00287C92"/>
    <w:rsid w:val="00290527"/>
    <w:rsid w:val="002A7FD9"/>
    <w:rsid w:val="002B5306"/>
    <w:rsid w:val="002B5E48"/>
    <w:rsid w:val="002D14E6"/>
    <w:rsid w:val="002D6D46"/>
    <w:rsid w:val="002D71A5"/>
    <w:rsid w:val="002E0F55"/>
    <w:rsid w:val="002E2603"/>
    <w:rsid w:val="002E7CD7"/>
    <w:rsid w:val="00313A83"/>
    <w:rsid w:val="00327EE8"/>
    <w:rsid w:val="003312B7"/>
    <w:rsid w:val="00332B4B"/>
    <w:rsid w:val="00342316"/>
    <w:rsid w:val="003466C8"/>
    <w:rsid w:val="00347B86"/>
    <w:rsid w:val="00347D4C"/>
    <w:rsid w:val="003511F7"/>
    <w:rsid w:val="00351330"/>
    <w:rsid w:val="003521B0"/>
    <w:rsid w:val="00354B41"/>
    <w:rsid w:val="00364FE2"/>
    <w:rsid w:val="003672B4"/>
    <w:rsid w:val="00372A6F"/>
    <w:rsid w:val="00374E8B"/>
    <w:rsid w:val="003754D3"/>
    <w:rsid w:val="00376945"/>
    <w:rsid w:val="00377B6B"/>
    <w:rsid w:val="00377DA0"/>
    <w:rsid w:val="00381EEB"/>
    <w:rsid w:val="00382DD4"/>
    <w:rsid w:val="00387AE6"/>
    <w:rsid w:val="00392846"/>
    <w:rsid w:val="00395B41"/>
    <w:rsid w:val="003977C9"/>
    <w:rsid w:val="003A2B7D"/>
    <w:rsid w:val="003A31F2"/>
    <w:rsid w:val="003A5124"/>
    <w:rsid w:val="003B7A32"/>
    <w:rsid w:val="003C0008"/>
    <w:rsid w:val="003C2AB0"/>
    <w:rsid w:val="003C4307"/>
    <w:rsid w:val="003C7883"/>
    <w:rsid w:val="003D7C1E"/>
    <w:rsid w:val="003F1CBD"/>
    <w:rsid w:val="00404E06"/>
    <w:rsid w:val="004065C6"/>
    <w:rsid w:val="00406EA6"/>
    <w:rsid w:val="004106BB"/>
    <w:rsid w:val="00412D5D"/>
    <w:rsid w:val="00425B9C"/>
    <w:rsid w:val="004308FA"/>
    <w:rsid w:val="00432443"/>
    <w:rsid w:val="00434FE1"/>
    <w:rsid w:val="004353A6"/>
    <w:rsid w:val="00435DE8"/>
    <w:rsid w:val="00440453"/>
    <w:rsid w:val="00447298"/>
    <w:rsid w:val="00463F0D"/>
    <w:rsid w:val="00466C26"/>
    <w:rsid w:val="00476CD5"/>
    <w:rsid w:val="0049456E"/>
    <w:rsid w:val="004A0E22"/>
    <w:rsid w:val="004A38D8"/>
    <w:rsid w:val="004A410A"/>
    <w:rsid w:val="004B2BC9"/>
    <w:rsid w:val="004C1C4A"/>
    <w:rsid w:val="004C5761"/>
    <w:rsid w:val="004C5ADD"/>
    <w:rsid w:val="004C5B76"/>
    <w:rsid w:val="004CAC44"/>
    <w:rsid w:val="004D3991"/>
    <w:rsid w:val="004D4075"/>
    <w:rsid w:val="004D7BF7"/>
    <w:rsid w:val="004E6DBC"/>
    <w:rsid w:val="004F12DD"/>
    <w:rsid w:val="004F22F3"/>
    <w:rsid w:val="005024F3"/>
    <w:rsid w:val="00505A43"/>
    <w:rsid w:val="00513400"/>
    <w:rsid w:val="005307EC"/>
    <w:rsid w:val="0053130A"/>
    <w:rsid w:val="0054179C"/>
    <w:rsid w:val="00542756"/>
    <w:rsid w:val="005433F2"/>
    <w:rsid w:val="0054565D"/>
    <w:rsid w:val="00545EB9"/>
    <w:rsid w:val="00546446"/>
    <w:rsid w:val="00547604"/>
    <w:rsid w:val="005504BD"/>
    <w:rsid w:val="005542A7"/>
    <w:rsid w:val="005558D6"/>
    <w:rsid w:val="005611E6"/>
    <w:rsid w:val="00562E8D"/>
    <w:rsid w:val="00565162"/>
    <w:rsid w:val="00593694"/>
    <w:rsid w:val="00597CAB"/>
    <w:rsid w:val="00597CF4"/>
    <w:rsid w:val="005A3E47"/>
    <w:rsid w:val="005A424D"/>
    <w:rsid w:val="005A52A3"/>
    <w:rsid w:val="005B2183"/>
    <w:rsid w:val="005B3C78"/>
    <w:rsid w:val="005C04FB"/>
    <w:rsid w:val="005D7F34"/>
    <w:rsid w:val="005E4E00"/>
    <w:rsid w:val="005F0020"/>
    <w:rsid w:val="005F1D9D"/>
    <w:rsid w:val="005F4B9D"/>
    <w:rsid w:val="006038FF"/>
    <w:rsid w:val="00604611"/>
    <w:rsid w:val="0060628F"/>
    <w:rsid w:val="0060D000"/>
    <w:rsid w:val="0062302E"/>
    <w:rsid w:val="006266D5"/>
    <w:rsid w:val="00630E0A"/>
    <w:rsid w:val="00631DBF"/>
    <w:rsid w:val="00632CE3"/>
    <w:rsid w:val="00642411"/>
    <w:rsid w:val="0064310E"/>
    <w:rsid w:val="00643CB2"/>
    <w:rsid w:val="00645845"/>
    <w:rsid w:val="006475A0"/>
    <w:rsid w:val="00651873"/>
    <w:rsid w:val="00655335"/>
    <w:rsid w:val="006572CA"/>
    <w:rsid w:val="00657C19"/>
    <w:rsid w:val="006606B0"/>
    <w:rsid w:val="00660B7A"/>
    <w:rsid w:val="00665671"/>
    <w:rsid w:val="00671450"/>
    <w:rsid w:val="00673E1A"/>
    <w:rsid w:val="00673E91"/>
    <w:rsid w:val="00674F7C"/>
    <w:rsid w:val="00675E47"/>
    <w:rsid w:val="00676E07"/>
    <w:rsid w:val="00683D34"/>
    <w:rsid w:val="006B4CA4"/>
    <w:rsid w:val="006B6174"/>
    <w:rsid w:val="006C0EA6"/>
    <w:rsid w:val="006D55F1"/>
    <w:rsid w:val="006E3535"/>
    <w:rsid w:val="006E4518"/>
    <w:rsid w:val="006F2079"/>
    <w:rsid w:val="006F2F53"/>
    <w:rsid w:val="006F6DD4"/>
    <w:rsid w:val="00720827"/>
    <w:rsid w:val="00720C59"/>
    <w:rsid w:val="00721962"/>
    <w:rsid w:val="00733CB4"/>
    <w:rsid w:val="00737CF2"/>
    <w:rsid w:val="00740E01"/>
    <w:rsid w:val="00741A36"/>
    <w:rsid w:val="00747C46"/>
    <w:rsid w:val="00751580"/>
    <w:rsid w:val="007559E3"/>
    <w:rsid w:val="007602CB"/>
    <w:rsid w:val="00762CFE"/>
    <w:rsid w:val="00780654"/>
    <w:rsid w:val="00781DAA"/>
    <w:rsid w:val="00781E14"/>
    <w:rsid w:val="00787175"/>
    <w:rsid w:val="007872C5"/>
    <w:rsid w:val="00792BBF"/>
    <w:rsid w:val="0079588B"/>
    <w:rsid w:val="00796008"/>
    <w:rsid w:val="007A5667"/>
    <w:rsid w:val="007A7818"/>
    <w:rsid w:val="007B0D21"/>
    <w:rsid w:val="007C3234"/>
    <w:rsid w:val="007D38EE"/>
    <w:rsid w:val="007E1919"/>
    <w:rsid w:val="007E4908"/>
    <w:rsid w:val="007E7055"/>
    <w:rsid w:val="007F5095"/>
    <w:rsid w:val="007F6B3F"/>
    <w:rsid w:val="00800724"/>
    <w:rsid w:val="00814390"/>
    <w:rsid w:val="0082142A"/>
    <w:rsid w:val="00824A67"/>
    <w:rsid w:val="00827536"/>
    <w:rsid w:val="008319C0"/>
    <w:rsid w:val="0083235C"/>
    <w:rsid w:val="00832A2E"/>
    <w:rsid w:val="00834BAD"/>
    <w:rsid w:val="00835ED0"/>
    <w:rsid w:val="00836473"/>
    <w:rsid w:val="00862C96"/>
    <w:rsid w:val="00863940"/>
    <w:rsid w:val="00865E34"/>
    <w:rsid w:val="008816B4"/>
    <w:rsid w:val="00884322"/>
    <w:rsid w:val="008854CC"/>
    <w:rsid w:val="008860D9"/>
    <w:rsid w:val="008871F1"/>
    <w:rsid w:val="0089789D"/>
    <w:rsid w:val="008A1EED"/>
    <w:rsid w:val="008A3AF6"/>
    <w:rsid w:val="008B0FB3"/>
    <w:rsid w:val="008B5F61"/>
    <w:rsid w:val="008C4123"/>
    <w:rsid w:val="008C55A1"/>
    <w:rsid w:val="008D100A"/>
    <w:rsid w:val="008D119D"/>
    <w:rsid w:val="008D2463"/>
    <w:rsid w:val="008E20F1"/>
    <w:rsid w:val="008E576B"/>
    <w:rsid w:val="008E5DB2"/>
    <w:rsid w:val="008F714B"/>
    <w:rsid w:val="00902616"/>
    <w:rsid w:val="00903F72"/>
    <w:rsid w:val="009133C5"/>
    <w:rsid w:val="009203F3"/>
    <w:rsid w:val="009208F6"/>
    <w:rsid w:val="00934258"/>
    <w:rsid w:val="0093715D"/>
    <w:rsid w:val="0094018D"/>
    <w:rsid w:val="009417B4"/>
    <w:rsid w:val="0094195A"/>
    <w:rsid w:val="00946942"/>
    <w:rsid w:val="00950084"/>
    <w:rsid w:val="00953EC8"/>
    <w:rsid w:val="00955033"/>
    <w:rsid w:val="00961F0B"/>
    <w:rsid w:val="00966675"/>
    <w:rsid w:val="0097218A"/>
    <w:rsid w:val="009749D8"/>
    <w:rsid w:val="00983270"/>
    <w:rsid w:val="0099558A"/>
    <w:rsid w:val="009956AD"/>
    <w:rsid w:val="00996E93"/>
    <w:rsid w:val="009B67F3"/>
    <w:rsid w:val="009C1B5B"/>
    <w:rsid w:val="009C54CF"/>
    <w:rsid w:val="009C59BE"/>
    <w:rsid w:val="009D3431"/>
    <w:rsid w:val="009D5B6E"/>
    <w:rsid w:val="009D71B1"/>
    <w:rsid w:val="009E33CB"/>
    <w:rsid w:val="009F349A"/>
    <w:rsid w:val="00A01016"/>
    <w:rsid w:val="00A12D26"/>
    <w:rsid w:val="00A207B5"/>
    <w:rsid w:val="00A21729"/>
    <w:rsid w:val="00A23785"/>
    <w:rsid w:val="00A241B4"/>
    <w:rsid w:val="00A32009"/>
    <w:rsid w:val="00A42A25"/>
    <w:rsid w:val="00A42AAC"/>
    <w:rsid w:val="00A50DD7"/>
    <w:rsid w:val="00A57BC8"/>
    <w:rsid w:val="00A6340D"/>
    <w:rsid w:val="00A669EC"/>
    <w:rsid w:val="00A76572"/>
    <w:rsid w:val="00A968CC"/>
    <w:rsid w:val="00A96A86"/>
    <w:rsid w:val="00AA68D3"/>
    <w:rsid w:val="00AC5910"/>
    <w:rsid w:val="00AD37CF"/>
    <w:rsid w:val="00AE7AAA"/>
    <w:rsid w:val="00AF21F4"/>
    <w:rsid w:val="00AF5C56"/>
    <w:rsid w:val="00B006BC"/>
    <w:rsid w:val="00B14EE9"/>
    <w:rsid w:val="00B31EB9"/>
    <w:rsid w:val="00B42F2B"/>
    <w:rsid w:val="00B43BCA"/>
    <w:rsid w:val="00B43BDC"/>
    <w:rsid w:val="00B46B20"/>
    <w:rsid w:val="00B473CF"/>
    <w:rsid w:val="00B50BAC"/>
    <w:rsid w:val="00B52AC4"/>
    <w:rsid w:val="00B52D18"/>
    <w:rsid w:val="00B54D0D"/>
    <w:rsid w:val="00B6307C"/>
    <w:rsid w:val="00B70700"/>
    <w:rsid w:val="00B71276"/>
    <w:rsid w:val="00B80E2F"/>
    <w:rsid w:val="00B84332"/>
    <w:rsid w:val="00B92A88"/>
    <w:rsid w:val="00B933E8"/>
    <w:rsid w:val="00BA4133"/>
    <w:rsid w:val="00BA6C70"/>
    <w:rsid w:val="00BB5DF9"/>
    <w:rsid w:val="00BC0AD4"/>
    <w:rsid w:val="00BC537E"/>
    <w:rsid w:val="00BD1408"/>
    <w:rsid w:val="00BD4193"/>
    <w:rsid w:val="00BD59B5"/>
    <w:rsid w:val="00BD6AEE"/>
    <w:rsid w:val="00BD7A34"/>
    <w:rsid w:val="00BE3D3C"/>
    <w:rsid w:val="00BF11DF"/>
    <w:rsid w:val="00BF2645"/>
    <w:rsid w:val="00BF4E12"/>
    <w:rsid w:val="00C06F13"/>
    <w:rsid w:val="00C1726F"/>
    <w:rsid w:val="00C223E5"/>
    <w:rsid w:val="00C22A05"/>
    <w:rsid w:val="00C238D9"/>
    <w:rsid w:val="00C2506C"/>
    <w:rsid w:val="00C2668D"/>
    <w:rsid w:val="00C31F1F"/>
    <w:rsid w:val="00C34119"/>
    <w:rsid w:val="00C41496"/>
    <w:rsid w:val="00C567BF"/>
    <w:rsid w:val="00C615F4"/>
    <w:rsid w:val="00C6411B"/>
    <w:rsid w:val="00C72954"/>
    <w:rsid w:val="00C7410F"/>
    <w:rsid w:val="00C86612"/>
    <w:rsid w:val="00C92047"/>
    <w:rsid w:val="00C97230"/>
    <w:rsid w:val="00CB4ACD"/>
    <w:rsid w:val="00CB6086"/>
    <w:rsid w:val="00CB6589"/>
    <w:rsid w:val="00CB6B60"/>
    <w:rsid w:val="00CB7482"/>
    <w:rsid w:val="00CC199F"/>
    <w:rsid w:val="00CD0C56"/>
    <w:rsid w:val="00CD1D89"/>
    <w:rsid w:val="00CE01BE"/>
    <w:rsid w:val="00CE2F7D"/>
    <w:rsid w:val="00CE4982"/>
    <w:rsid w:val="00CE51F6"/>
    <w:rsid w:val="00CE66D1"/>
    <w:rsid w:val="00CE7081"/>
    <w:rsid w:val="00CF3874"/>
    <w:rsid w:val="00D0279D"/>
    <w:rsid w:val="00D02AED"/>
    <w:rsid w:val="00D03FD0"/>
    <w:rsid w:val="00D04836"/>
    <w:rsid w:val="00D06799"/>
    <w:rsid w:val="00D06927"/>
    <w:rsid w:val="00D06E94"/>
    <w:rsid w:val="00D13B1C"/>
    <w:rsid w:val="00D20D34"/>
    <w:rsid w:val="00D248CC"/>
    <w:rsid w:val="00D2546B"/>
    <w:rsid w:val="00D36319"/>
    <w:rsid w:val="00D3665F"/>
    <w:rsid w:val="00D41FFC"/>
    <w:rsid w:val="00D44F3D"/>
    <w:rsid w:val="00D460ED"/>
    <w:rsid w:val="00D52630"/>
    <w:rsid w:val="00D60C0B"/>
    <w:rsid w:val="00D72EAC"/>
    <w:rsid w:val="00D7418B"/>
    <w:rsid w:val="00D7739E"/>
    <w:rsid w:val="00D77A87"/>
    <w:rsid w:val="00D87D09"/>
    <w:rsid w:val="00D9037A"/>
    <w:rsid w:val="00DA092B"/>
    <w:rsid w:val="00DA3EEA"/>
    <w:rsid w:val="00DA419F"/>
    <w:rsid w:val="00DA583C"/>
    <w:rsid w:val="00DA6874"/>
    <w:rsid w:val="00DB1029"/>
    <w:rsid w:val="00DC0848"/>
    <w:rsid w:val="00DC267E"/>
    <w:rsid w:val="00DC3A78"/>
    <w:rsid w:val="00DC4E87"/>
    <w:rsid w:val="00DD13C7"/>
    <w:rsid w:val="00DD1D12"/>
    <w:rsid w:val="00DE0632"/>
    <w:rsid w:val="00E0731F"/>
    <w:rsid w:val="00E104DF"/>
    <w:rsid w:val="00E22683"/>
    <w:rsid w:val="00E25CF5"/>
    <w:rsid w:val="00E31FAF"/>
    <w:rsid w:val="00E36755"/>
    <w:rsid w:val="00E42D7E"/>
    <w:rsid w:val="00E46791"/>
    <w:rsid w:val="00E46B97"/>
    <w:rsid w:val="00E53672"/>
    <w:rsid w:val="00E60DD0"/>
    <w:rsid w:val="00E765A2"/>
    <w:rsid w:val="00E778FA"/>
    <w:rsid w:val="00E77FFA"/>
    <w:rsid w:val="00E849A3"/>
    <w:rsid w:val="00E84FCB"/>
    <w:rsid w:val="00E86E76"/>
    <w:rsid w:val="00E92F63"/>
    <w:rsid w:val="00EA7EA4"/>
    <w:rsid w:val="00EB701C"/>
    <w:rsid w:val="00EC0B88"/>
    <w:rsid w:val="00EC4FB1"/>
    <w:rsid w:val="00EE030E"/>
    <w:rsid w:val="00EE7234"/>
    <w:rsid w:val="00EF2B25"/>
    <w:rsid w:val="00F009C9"/>
    <w:rsid w:val="00F05E8C"/>
    <w:rsid w:val="00F131E0"/>
    <w:rsid w:val="00F148E9"/>
    <w:rsid w:val="00F14CA3"/>
    <w:rsid w:val="00F16375"/>
    <w:rsid w:val="00F24FC5"/>
    <w:rsid w:val="00F31C14"/>
    <w:rsid w:val="00F5658E"/>
    <w:rsid w:val="00F57C48"/>
    <w:rsid w:val="00F61540"/>
    <w:rsid w:val="00F662D5"/>
    <w:rsid w:val="00F83B1F"/>
    <w:rsid w:val="00FA6B7F"/>
    <w:rsid w:val="00FC7841"/>
    <w:rsid w:val="00FD0AA0"/>
    <w:rsid w:val="00FD7D1C"/>
    <w:rsid w:val="00FE118B"/>
    <w:rsid w:val="00FE17F3"/>
    <w:rsid w:val="00FE30D0"/>
    <w:rsid w:val="00FF0450"/>
    <w:rsid w:val="01771FAC"/>
    <w:rsid w:val="03CF3842"/>
    <w:rsid w:val="0539CDB9"/>
    <w:rsid w:val="067D3BBE"/>
    <w:rsid w:val="07D1ADE5"/>
    <w:rsid w:val="07D62278"/>
    <w:rsid w:val="0B14E677"/>
    <w:rsid w:val="0BC5DD8A"/>
    <w:rsid w:val="0C00BBE4"/>
    <w:rsid w:val="0C12FE6D"/>
    <w:rsid w:val="0E469D84"/>
    <w:rsid w:val="1046817E"/>
    <w:rsid w:val="1376649B"/>
    <w:rsid w:val="13B6CAF3"/>
    <w:rsid w:val="1404E7F5"/>
    <w:rsid w:val="14861467"/>
    <w:rsid w:val="14B3A961"/>
    <w:rsid w:val="14FF90BC"/>
    <w:rsid w:val="15273C01"/>
    <w:rsid w:val="1787368A"/>
    <w:rsid w:val="1949B611"/>
    <w:rsid w:val="1BF95796"/>
    <w:rsid w:val="1D1CE52A"/>
    <w:rsid w:val="1DBA9D95"/>
    <w:rsid w:val="1DD00651"/>
    <w:rsid w:val="21538E6E"/>
    <w:rsid w:val="2314D46D"/>
    <w:rsid w:val="25E53B63"/>
    <w:rsid w:val="2AB676DF"/>
    <w:rsid w:val="2B027229"/>
    <w:rsid w:val="2C3A1B02"/>
    <w:rsid w:val="2CC5D9E0"/>
    <w:rsid w:val="2CFF7EB2"/>
    <w:rsid w:val="2D75D4D4"/>
    <w:rsid w:val="2FBEDCA7"/>
    <w:rsid w:val="32077636"/>
    <w:rsid w:val="320AA7FC"/>
    <w:rsid w:val="3237036E"/>
    <w:rsid w:val="33CAB473"/>
    <w:rsid w:val="33D65166"/>
    <w:rsid w:val="358E3019"/>
    <w:rsid w:val="35F243B2"/>
    <w:rsid w:val="368B70C3"/>
    <w:rsid w:val="37025535"/>
    <w:rsid w:val="3759C6B8"/>
    <w:rsid w:val="385F879B"/>
    <w:rsid w:val="390B2342"/>
    <w:rsid w:val="3989FB03"/>
    <w:rsid w:val="3ACFCC6F"/>
    <w:rsid w:val="3C458B01"/>
    <w:rsid w:val="3C604BAE"/>
    <w:rsid w:val="3CE71163"/>
    <w:rsid w:val="3EA85762"/>
    <w:rsid w:val="3ECEC91F"/>
    <w:rsid w:val="4032B779"/>
    <w:rsid w:val="40900F1E"/>
    <w:rsid w:val="41A519CA"/>
    <w:rsid w:val="464C2F7B"/>
    <w:rsid w:val="4724C640"/>
    <w:rsid w:val="47CE4007"/>
    <w:rsid w:val="47E30B48"/>
    <w:rsid w:val="4CD274BE"/>
    <w:rsid w:val="4D0522B3"/>
    <w:rsid w:val="4D198F50"/>
    <w:rsid w:val="4E2F961B"/>
    <w:rsid w:val="4F36C98C"/>
    <w:rsid w:val="5025D0BF"/>
    <w:rsid w:val="50C3892A"/>
    <w:rsid w:val="50D299ED"/>
    <w:rsid w:val="539AD5F4"/>
    <w:rsid w:val="5596FA4D"/>
    <w:rsid w:val="56F98840"/>
    <w:rsid w:val="5758404C"/>
    <w:rsid w:val="576A82D5"/>
    <w:rsid w:val="5790F492"/>
    <w:rsid w:val="59830E83"/>
    <w:rsid w:val="59908774"/>
    <w:rsid w:val="59CA7D5E"/>
    <w:rsid w:val="5CC73FC6"/>
    <w:rsid w:val="5E49E7CA"/>
    <w:rsid w:val="5E71930F"/>
    <w:rsid w:val="5F745B32"/>
    <w:rsid w:val="600A31AA"/>
    <w:rsid w:val="60D09179"/>
    <w:rsid w:val="62B61F21"/>
    <w:rsid w:val="64A4FA1A"/>
    <w:rsid w:val="6699FB36"/>
    <w:rsid w:val="67C46E9E"/>
    <w:rsid w:val="683BB54C"/>
    <w:rsid w:val="693C33DD"/>
    <w:rsid w:val="69AE80E5"/>
    <w:rsid w:val="6A0F006B"/>
    <w:rsid w:val="6B845F0F"/>
    <w:rsid w:val="6BB953B4"/>
    <w:rsid w:val="6CA7ECA3"/>
    <w:rsid w:val="6F1D4FE8"/>
    <w:rsid w:val="6F55080F"/>
    <w:rsid w:val="70FAF00A"/>
    <w:rsid w:val="710507A4"/>
    <w:rsid w:val="71691B3D"/>
    <w:rsid w:val="755E0053"/>
    <w:rsid w:val="75E885A9"/>
    <w:rsid w:val="781D5E48"/>
    <w:rsid w:val="7A317176"/>
    <w:rsid w:val="7AAA3A1F"/>
    <w:rsid w:val="7DD9ED22"/>
    <w:rsid w:val="7DDA6F31"/>
    <w:rsid w:val="7E3F7EE9"/>
    <w:rsid w:val="7E8A6A25"/>
    <w:rsid w:val="7ED65180"/>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9A1D1"/>
  <w15:chartTrackingRefBased/>
  <w15:docId w15:val="{9D3B60B7-4EDB-4048-AB9C-26AC9DA5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D0D"/>
    <w:pPr>
      <w:spacing w:after="240" w:line="240" w:lineRule="auto"/>
    </w:pPr>
    <w:rPr>
      <w:rFonts w:ascii="Arial" w:eastAsia="Arial" w:hAnsi="Arial" w:cs="Arial"/>
      <w:sz w:val="20"/>
      <w:szCs w:val="20"/>
      <w:lang w:val="en-GB" w:eastAsia="sv-SE"/>
    </w:rPr>
  </w:style>
  <w:style w:type="paragraph" w:styleId="Rubrik1">
    <w:name w:val="heading 1"/>
    <w:basedOn w:val="Normal"/>
    <w:next w:val="Normal"/>
    <w:link w:val="Rubrik1Char"/>
    <w:uiPriority w:val="9"/>
    <w:qFormat/>
    <w:rsid w:val="00800724"/>
    <w:pPr>
      <w:keepNext/>
      <w:keepLines/>
      <w:spacing w:after="40"/>
      <w:outlineLvl w:val="0"/>
    </w:pPr>
    <w:rPr>
      <w:b/>
      <w:sz w:val="32"/>
      <w:szCs w:val="32"/>
    </w:rPr>
  </w:style>
  <w:style w:type="paragraph" w:styleId="Rubrik2">
    <w:name w:val="heading 2"/>
    <w:basedOn w:val="Normal"/>
    <w:next w:val="Normal"/>
    <w:link w:val="Rubrik2Char"/>
    <w:uiPriority w:val="9"/>
    <w:unhideWhenUsed/>
    <w:qFormat/>
    <w:rsid w:val="00800724"/>
    <w:pPr>
      <w:keepNext/>
      <w:keepLines/>
      <w:spacing w:after="40"/>
      <w:outlineLvl w:val="1"/>
    </w:pPr>
    <w:rPr>
      <w:b/>
      <w:sz w:val="24"/>
      <w:szCs w:val="24"/>
    </w:rPr>
  </w:style>
  <w:style w:type="paragraph" w:styleId="Rubrik3">
    <w:name w:val="heading 3"/>
    <w:basedOn w:val="Normal"/>
    <w:next w:val="Normal"/>
    <w:link w:val="Rubrik3Char"/>
    <w:uiPriority w:val="9"/>
    <w:unhideWhenUsed/>
    <w:qFormat/>
    <w:rsid w:val="00800724"/>
    <w:pPr>
      <w:keepNext/>
      <w:keepLines/>
      <w:spacing w:after="40"/>
      <w:outlineLvl w:val="2"/>
    </w:pPr>
    <w:rPr>
      <w:b/>
    </w:rPr>
  </w:style>
  <w:style w:type="paragraph" w:styleId="Rubrik4">
    <w:name w:val="heading 4"/>
    <w:basedOn w:val="Normal"/>
    <w:next w:val="Normal"/>
    <w:link w:val="Rubrik4Char"/>
    <w:uiPriority w:val="9"/>
    <w:unhideWhenUsed/>
    <w:qFormat/>
    <w:rsid w:val="00800724"/>
    <w:pPr>
      <w:keepNext/>
      <w:keepLines/>
      <w:spacing w:after="40"/>
      <w:outlineLvl w:val="3"/>
    </w:pPr>
    <w:rPr>
      <w:rFonts w:ascii="Georgia" w:eastAsia="Georgia" w:hAnsi="Georgia" w:cs="Georgia"/>
      <w:i/>
    </w:rPr>
  </w:style>
  <w:style w:type="paragraph" w:styleId="Rubrik5">
    <w:name w:val="heading 5"/>
    <w:basedOn w:val="Normal"/>
    <w:next w:val="Normal"/>
    <w:link w:val="Rubrik5Char"/>
    <w:uiPriority w:val="9"/>
    <w:semiHidden/>
    <w:unhideWhenUsed/>
    <w:qFormat/>
    <w:rsid w:val="00B54D0D"/>
    <w:pPr>
      <w:keepNext/>
      <w:keepLines/>
      <w:spacing w:after="40"/>
      <w:outlineLvl w:val="4"/>
    </w:pPr>
    <w:rPr>
      <w:rFonts w:ascii="Georgia" w:eastAsia="Georgia" w:hAnsi="Georgia" w:cs="Georgia"/>
    </w:rPr>
  </w:style>
  <w:style w:type="paragraph" w:styleId="Rubrik6">
    <w:name w:val="heading 6"/>
    <w:basedOn w:val="Normal"/>
    <w:next w:val="Normal"/>
    <w:link w:val="Rubrik6Char"/>
    <w:uiPriority w:val="9"/>
    <w:semiHidden/>
    <w:unhideWhenUsed/>
    <w:qFormat/>
    <w:rsid w:val="00B54D0D"/>
    <w:pPr>
      <w:keepNext/>
      <w:keepLines/>
      <w:spacing w:after="40"/>
      <w:outlineLvl w:val="5"/>
    </w:pPr>
    <w:rPr>
      <w:rFonts w:ascii="Georgia" w:eastAsia="Georgia" w:hAnsi="Georgia" w:cs="Georgi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00724"/>
    <w:rPr>
      <w:rFonts w:ascii="Arial" w:eastAsia="Arial" w:hAnsi="Arial" w:cs="Arial"/>
      <w:b/>
      <w:sz w:val="32"/>
      <w:szCs w:val="32"/>
      <w:lang w:val="en-GB" w:eastAsia="sv-SE"/>
    </w:rPr>
  </w:style>
  <w:style w:type="character" w:customStyle="1" w:styleId="Rubrik2Char">
    <w:name w:val="Rubrik 2 Char"/>
    <w:basedOn w:val="Standardstycketeckensnitt"/>
    <w:link w:val="Rubrik2"/>
    <w:uiPriority w:val="9"/>
    <w:rsid w:val="00800724"/>
    <w:rPr>
      <w:rFonts w:ascii="Arial" w:eastAsia="Arial" w:hAnsi="Arial" w:cs="Arial"/>
      <w:b/>
      <w:sz w:val="24"/>
      <w:szCs w:val="24"/>
      <w:lang w:val="en-GB" w:eastAsia="sv-SE"/>
    </w:rPr>
  </w:style>
  <w:style w:type="character" w:customStyle="1" w:styleId="Rubrik3Char">
    <w:name w:val="Rubrik 3 Char"/>
    <w:basedOn w:val="Standardstycketeckensnitt"/>
    <w:link w:val="Rubrik3"/>
    <w:uiPriority w:val="9"/>
    <w:rsid w:val="00800724"/>
    <w:rPr>
      <w:rFonts w:ascii="Arial" w:eastAsia="Arial" w:hAnsi="Arial" w:cs="Arial"/>
      <w:b/>
      <w:sz w:val="20"/>
      <w:szCs w:val="20"/>
      <w:lang w:val="en-GB" w:eastAsia="sv-SE"/>
    </w:rPr>
  </w:style>
  <w:style w:type="character" w:customStyle="1" w:styleId="Rubrik4Char">
    <w:name w:val="Rubrik 4 Char"/>
    <w:basedOn w:val="Standardstycketeckensnitt"/>
    <w:link w:val="Rubrik4"/>
    <w:uiPriority w:val="9"/>
    <w:rsid w:val="00800724"/>
    <w:rPr>
      <w:rFonts w:ascii="Georgia" w:eastAsia="Georgia" w:hAnsi="Georgia" w:cs="Georgia"/>
      <w:i/>
      <w:sz w:val="20"/>
      <w:szCs w:val="20"/>
      <w:lang w:val="en-GB" w:eastAsia="sv-SE"/>
    </w:rPr>
  </w:style>
  <w:style w:type="paragraph" w:customStyle="1" w:styleId="Sectionheadline">
    <w:name w:val="Section headline"/>
    <w:basedOn w:val="Rubrik2"/>
    <w:qFormat/>
    <w:rsid w:val="00800724"/>
    <w:pPr>
      <w:spacing w:before="240" w:after="180" w:line="640" w:lineRule="exact"/>
      <w:ind w:right="533"/>
    </w:pPr>
    <w:rPr>
      <w:rFonts w:asciiTheme="majorHAnsi" w:eastAsiaTheme="majorEastAsia" w:hAnsiTheme="majorHAnsi" w:cstheme="majorBidi"/>
      <w:b w:val="0"/>
      <w:color w:val="FFC000" w:themeColor="accent4"/>
      <w:sz w:val="60"/>
      <w:szCs w:val="60"/>
      <w:lang w:eastAsia="en-US"/>
    </w:rPr>
  </w:style>
  <w:style w:type="paragraph" w:styleId="Liststycke">
    <w:name w:val="List Paragraph"/>
    <w:basedOn w:val="Normal"/>
    <w:uiPriority w:val="34"/>
    <w:qFormat/>
    <w:rsid w:val="00800724"/>
    <w:pPr>
      <w:ind w:left="720"/>
      <w:contextualSpacing/>
    </w:pPr>
  </w:style>
  <w:style w:type="paragraph" w:styleId="Sidhuvud">
    <w:name w:val="header"/>
    <w:basedOn w:val="Normal"/>
    <w:link w:val="SidhuvudChar"/>
    <w:uiPriority w:val="99"/>
    <w:unhideWhenUsed/>
    <w:rsid w:val="002D6D46"/>
    <w:pPr>
      <w:tabs>
        <w:tab w:val="center" w:pos="4536"/>
        <w:tab w:val="right" w:pos="9072"/>
      </w:tabs>
      <w:spacing w:after="0"/>
    </w:pPr>
  </w:style>
  <w:style w:type="character" w:customStyle="1" w:styleId="SidhuvudChar">
    <w:name w:val="Sidhuvud Char"/>
    <w:basedOn w:val="Standardstycketeckensnitt"/>
    <w:link w:val="Sidhuvud"/>
    <w:uiPriority w:val="99"/>
    <w:rsid w:val="002D6D46"/>
    <w:rPr>
      <w:rFonts w:ascii="Arial" w:eastAsia="Arial" w:hAnsi="Arial" w:cs="Arial"/>
      <w:sz w:val="20"/>
      <w:szCs w:val="20"/>
      <w:lang w:val="en-GB" w:eastAsia="sv-SE"/>
    </w:rPr>
  </w:style>
  <w:style w:type="paragraph" w:styleId="Sidfot">
    <w:name w:val="footer"/>
    <w:basedOn w:val="Normal"/>
    <w:link w:val="SidfotChar"/>
    <w:uiPriority w:val="99"/>
    <w:unhideWhenUsed/>
    <w:rsid w:val="002D6D46"/>
    <w:pPr>
      <w:tabs>
        <w:tab w:val="center" w:pos="4536"/>
        <w:tab w:val="right" w:pos="9072"/>
      </w:tabs>
      <w:spacing w:after="0"/>
    </w:pPr>
  </w:style>
  <w:style w:type="character" w:customStyle="1" w:styleId="SidfotChar">
    <w:name w:val="Sidfot Char"/>
    <w:basedOn w:val="Standardstycketeckensnitt"/>
    <w:link w:val="Sidfot"/>
    <w:uiPriority w:val="99"/>
    <w:rsid w:val="002D6D46"/>
    <w:rPr>
      <w:rFonts w:ascii="Arial" w:eastAsia="Arial" w:hAnsi="Arial" w:cs="Arial"/>
      <w:sz w:val="20"/>
      <w:szCs w:val="20"/>
      <w:lang w:val="en-GB" w:eastAsia="sv-SE"/>
    </w:rPr>
  </w:style>
  <w:style w:type="character" w:styleId="Platshllartext">
    <w:name w:val="Placeholder Text"/>
    <w:basedOn w:val="Standardstycketeckensnitt"/>
    <w:uiPriority w:val="99"/>
    <w:semiHidden/>
    <w:rsid w:val="00B933E8"/>
    <w:rPr>
      <w:color w:val="808080"/>
    </w:rPr>
  </w:style>
  <w:style w:type="paragraph" w:styleId="Fotnotstext">
    <w:name w:val="footnote text"/>
    <w:basedOn w:val="Normal"/>
    <w:link w:val="FotnotstextChar"/>
    <w:uiPriority w:val="99"/>
    <w:semiHidden/>
    <w:unhideWhenUsed/>
    <w:rsid w:val="00B933E8"/>
    <w:pPr>
      <w:spacing w:after="0"/>
    </w:pPr>
  </w:style>
  <w:style w:type="character" w:customStyle="1" w:styleId="FotnotstextChar">
    <w:name w:val="Fotnotstext Char"/>
    <w:basedOn w:val="Standardstycketeckensnitt"/>
    <w:link w:val="Fotnotstext"/>
    <w:uiPriority w:val="99"/>
    <w:semiHidden/>
    <w:rsid w:val="00B933E8"/>
    <w:rPr>
      <w:rFonts w:ascii="Arial" w:eastAsia="Arial" w:hAnsi="Arial" w:cs="Arial"/>
      <w:sz w:val="20"/>
      <w:szCs w:val="20"/>
      <w:lang w:val="en-GB" w:eastAsia="sv-SE"/>
    </w:rPr>
  </w:style>
  <w:style w:type="character" w:styleId="Fotnotsreferens">
    <w:name w:val="footnote reference"/>
    <w:basedOn w:val="Standardstycketeckensnitt"/>
    <w:uiPriority w:val="99"/>
    <w:semiHidden/>
    <w:unhideWhenUsed/>
    <w:rsid w:val="00B933E8"/>
    <w:rPr>
      <w:vertAlign w:val="superscript"/>
    </w:rPr>
  </w:style>
  <w:style w:type="paragraph" w:styleId="Ballongtext">
    <w:name w:val="Balloon Text"/>
    <w:basedOn w:val="Normal"/>
    <w:link w:val="BallongtextChar"/>
    <w:uiPriority w:val="99"/>
    <w:semiHidden/>
    <w:unhideWhenUsed/>
    <w:rsid w:val="004106BB"/>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106BB"/>
    <w:rPr>
      <w:rFonts w:ascii="Segoe UI" w:eastAsia="Arial" w:hAnsi="Segoe UI" w:cs="Segoe UI"/>
      <w:sz w:val="18"/>
      <w:szCs w:val="18"/>
      <w:lang w:val="en-GB" w:eastAsia="sv-SE"/>
    </w:rPr>
  </w:style>
  <w:style w:type="character" w:customStyle="1" w:styleId="Rubrik5Char">
    <w:name w:val="Rubrik 5 Char"/>
    <w:basedOn w:val="Standardstycketeckensnitt"/>
    <w:link w:val="Rubrik5"/>
    <w:uiPriority w:val="9"/>
    <w:semiHidden/>
    <w:rsid w:val="00B54D0D"/>
    <w:rPr>
      <w:rFonts w:ascii="Georgia" w:eastAsia="Georgia" w:hAnsi="Georgia" w:cs="Georgia"/>
      <w:sz w:val="20"/>
      <w:szCs w:val="20"/>
      <w:lang w:val="en-GB" w:eastAsia="sv-SE"/>
    </w:rPr>
  </w:style>
  <w:style w:type="character" w:customStyle="1" w:styleId="Rubrik6Char">
    <w:name w:val="Rubrik 6 Char"/>
    <w:basedOn w:val="Standardstycketeckensnitt"/>
    <w:link w:val="Rubrik6"/>
    <w:uiPriority w:val="9"/>
    <w:semiHidden/>
    <w:rsid w:val="00B54D0D"/>
    <w:rPr>
      <w:rFonts w:ascii="Georgia" w:eastAsia="Georgia" w:hAnsi="Georgia" w:cs="Georgia"/>
      <w:sz w:val="20"/>
      <w:szCs w:val="20"/>
      <w:lang w:val="en-GB" w:eastAsia="sv-SE"/>
    </w:rPr>
  </w:style>
  <w:style w:type="paragraph" w:styleId="Rubrik">
    <w:name w:val="Title"/>
    <w:basedOn w:val="Normal"/>
    <w:next w:val="Normal"/>
    <w:link w:val="RubrikChar"/>
    <w:uiPriority w:val="10"/>
    <w:qFormat/>
    <w:rsid w:val="00B54D0D"/>
    <w:pPr>
      <w:keepNext/>
      <w:keepLines/>
      <w:spacing w:after="0" w:line="276" w:lineRule="auto"/>
    </w:pPr>
    <w:rPr>
      <w:rFonts w:ascii="Georgia" w:eastAsia="Georgia" w:hAnsi="Georgia" w:cs="Georgia"/>
      <w:sz w:val="56"/>
      <w:szCs w:val="56"/>
    </w:rPr>
  </w:style>
  <w:style w:type="character" w:customStyle="1" w:styleId="RubrikChar">
    <w:name w:val="Rubrik Char"/>
    <w:basedOn w:val="Standardstycketeckensnitt"/>
    <w:link w:val="Rubrik"/>
    <w:uiPriority w:val="10"/>
    <w:rsid w:val="00B54D0D"/>
    <w:rPr>
      <w:rFonts w:ascii="Georgia" w:eastAsia="Georgia" w:hAnsi="Georgia" w:cs="Georgia"/>
      <w:sz w:val="56"/>
      <w:szCs w:val="56"/>
      <w:lang w:val="en-GB" w:eastAsia="sv-SE"/>
    </w:rPr>
  </w:style>
  <w:style w:type="paragraph" w:styleId="Underrubrik">
    <w:name w:val="Subtitle"/>
    <w:basedOn w:val="Normal"/>
    <w:next w:val="Normal"/>
    <w:link w:val="UnderrubrikChar"/>
    <w:uiPriority w:val="11"/>
    <w:qFormat/>
    <w:rsid w:val="00B54D0D"/>
    <w:pPr>
      <w:keepNext/>
      <w:keepLines/>
      <w:spacing w:after="1200"/>
    </w:pPr>
    <w:rPr>
      <w:rFonts w:ascii="Georgia" w:eastAsia="Georgia" w:hAnsi="Georgia" w:cs="Georgia"/>
      <w:i/>
      <w:color w:val="666666"/>
      <w:sz w:val="40"/>
      <w:szCs w:val="40"/>
    </w:rPr>
  </w:style>
  <w:style w:type="character" w:customStyle="1" w:styleId="UnderrubrikChar">
    <w:name w:val="Underrubrik Char"/>
    <w:basedOn w:val="Standardstycketeckensnitt"/>
    <w:link w:val="Underrubrik"/>
    <w:uiPriority w:val="11"/>
    <w:rsid w:val="00B54D0D"/>
    <w:rPr>
      <w:rFonts w:ascii="Georgia" w:eastAsia="Georgia" w:hAnsi="Georgia" w:cs="Georgia"/>
      <w:i/>
      <w:color w:val="666666"/>
      <w:sz w:val="40"/>
      <w:szCs w:val="40"/>
      <w:lang w:val="en-GB" w:eastAsia="sv-SE"/>
    </w:rPr>
  </w:style>
  <w:style w:type="paragraph" w:styleId="Kommentarer">
    <w:name w:val="annotation text"/>
    <w:basedOn w:val="Normal"/>
    <w:link w:val="KommentarerChar"/>
    <w:uiPriority w:val="99"/>
    <w:semiHidden/>
    <w:unhideWhenUsed/>
    <w:rsid w:val="00B54D0D"/>
  </w:style>
  <w:style w:type="character" w:customStyle="1" w:styleId="KommentarerChar">
    <w:name w:val="Kommentarer Char"/>
    <w:basedOn w:val="Standardstycketeckensnitt"/>
    <w:link w:val="Kommentarer"/>
    <w:uiPriority w:val="99"/>
    <w:semiHidden/>
    <w:rsid w:val="00B54D0D"/>
    <w:rPr>
      <w:rFonts w:ascii="Arial" w:eastAsia="Arial" w:hAnsi="Arial" w:cs="Arial"/>
      <w:sz w:val="20"/>
      <w:szCs w:val="20"/>
      <w:lang w:val="en-GB" w:eastAsia="sv-SE"/>
    </w:rPr>
  </w:style>
  <w:style w:type="character" w:styleId="Kommentarsreferens">
    <w:name w:val="annotation reference"/>
    <w:basedOn w:val="Standardstycketeckensnitt"/>
    <w:uiPriority w:val="99"/>
    <w:semiHidden/>
    <w:unhideWhenUsed/>
    <w:rsid w:val="00B54D0D"/>
    <w:rPr>
      <w:sz w:val="16"/>
      <w:szCs w:val="16"/>
    </w:rPr>
  </w:style>
  <w:style w:type="character" w:styleId="Hyperlnk">
    <w:name w:val="Hyperlink"/>
    <w:basedOn w:val="Standardstycketeckensnitt"/>
    <w:uiPriority w:val="99"/>
    <w:semiHidden/>
    <w:unhideWhenUsed/>
    <w:rsid w:val="00B54D0D"/>
    <w:rPr>
      <w:color w:val="0000FF"/>
      <w:u w:val="single"/>
    </w:rPr>
  </w:style>
  <w:style w:type="paragraph" w:styleId="Normalwebb">
    <w:name w:val="Normal (Web)"/>
    <w:basedOn w:val="Normal"/>
    <w:uiPriority w:val="99"/>
    <w:semiHidden/>
    <w:unhideWhenUsed/>
    <w:rsid w:val="00B54D0D"/>
    <w:pPr>
      <w:spacing w:after="360" w:line="360" w:lineRule="atLeast"/>
    </w:pPr>
    <w:rPr>
      <w:rFonts w:ascii="Times New Roman" w:eastAsia="Times New Roman" w:hAnsi="Times New Roman" w:cs="Times New Roman"/>
      <w:sz w:val="24"/>
      <w:szCs w:val="24"/>
      <w:lang w:val="sv-SE"/>
    </w:rPr>
  </w:style>
  <w:style w:type="paragraph" w:customStyle="1" w:styleId="autolista">
    <w:name w:val="autolista"/>
    <w:basedOn w:val="Normal"/>
    <w:rsid w:val="00B54D0D"/>
    <w:pPr>
      <w:spacing w:before="100" w:beforeAutospacing="1" w:after="100" w:afterAutospacing="1"/>
    </w:pPr>
    <w:rPr>
      <w:rFonts w:ascii="Times New Roman" w:eastAsia="Times New Roman" w:hAnsi="Times New Roman" w:cs="Times New Roman"/>
      <w:sz w:val="24"/>
      <w:szCs w:val="24"/>
      <w:lang w:val="sv-SE"/>
    </w:rPr>
  </w:style>
  <w:style w:type="paragraph" w:customStyle="1" w:styleId="Normal1">
    <w:name w:val="Normal1"/>
    <w:basedOn w:val="Normal"/>
    <w:rsid w:val="00B54D0D"/>
    <w:pPr>
      <w:spacing w:before="100" w:beforeAutospacing="1" w:after="100" w:afterAutospacing="1"/>
    </w:pPr>
    <w:rPr>
      <w:rFonts w:ascii="Times New Roman" w:eastAsia="Times New Roman" w:hAnsi="Times New Roman" w:cs="Times New Roman"/>
      <w:sz w:val="24"/>
      <w:szCs w:val="24"/>
      <w:lang w:val="sv-SE"/>
    </w:rPr>
  </w:style>
  <w:style w:type="paragraph" w:styleId="Kommentarsmne">
    <w:name w:val="annotation subject"/>
    <w:basedOn w:val="Kommentarer"/>
    <w:next w:val="Kommentarer"/>
    <w:link w:val="KommentarsmneChar"/>
    <w:uiPriority w:val="99"/>
    <w:semiHidden/>
    <w:unhideWhenUsed/>
    <w:rsid w:val="00B54D0D"/>
    <w:rPr>
      <w:b/>
      <w:bCs/>
    </w:rPr>
  </w:style>
  <w:style w:type="character" w:customStyle="1" w:styleId="KommentarsmneChar">
    <w:name w:val="Kommentarsämne Char"/>
    <w:basedOn w:val="KommentarerChar"/>
    <w:link w:val="Kommentarsmne"/>
    <w:uiPriority w:val="99"/>
    <w:semiHidden/>
    <w:rsid w:val="00B54D0D"/>
    <w:rPr>
      <w:rFonts w:ascii="Arial" w:eastAsia="Arial" w:hAnsi="Arial" w:cs="Arial"/>
      <w:b/>
      <w:bCs/>
      <w:sz w:val="20"/>
      <w:szCs w:val="20"/>
      <w:lang w:val="en-GB" w:eastAsia="sv-SE"/>
    </w:rPr>
  </w:style>
  <w:style w:type="character" w:customStyle="1" w:styleId="frh">
    <w:name w:val="frh"/>
    <w:basedOn w:val="Standardstycketeckensnitt"/>
    <w:rsid w:val="00B54D0D"/>
  </w:style>
  <w:style w:type="paragraph" w:customStyle="1" w:styleId="Normal2">
    <w:name w:val="Normal2"/>
    <w:basedOn w:val="Normal"/>
    <w:rsid w:val="00CE51F6"/>
    <w:pPr>
      <w:spacing w:before="100" w:beforeAutospacing="1" w:after="100" w:afterAutospacing="1"/>
    </w:pPr>
    <w:rPr>
      <w:rFonts w:ascii="Times New Roman" w:eastAsia="Times New Roman" w:hAnsi="Times New Roman" w:cs="Times New Roman"/>
      <w:sz w:val="24"/>
      <w:szCs w:val="24"/>
      <w:lang w:val="sv-SE"/>
    </w:rPr>
  </w:style>
  <w:style w:type="paragraph" w:styleId="Slutnotstext">
    <w:name w:val="endnote text"/>
    <w:basedOn w:val="Normal"/>
    <w:link w:val="SlutnotstextChar"/>
    <w:uiPriority w:val="99"/>
    <w:semiHidden/>
    <w:unhideWhenUsed/>
    <w:rsid w:val="003A31F2"/>
    <w:pPr>
      <w:spacing w:after="0"/>
    </w:pPr>
  </w:style>
  <w:style w:type="character" w:customStyle="1" w:styleId="SlutnotstextChar">
    <w:name w:val="Slutnotstext Char"/>
    <w:basedOn w:val="Standardstycketeckensnitt"/>
    <w:link w:val="Slutnotstext"/>
    <w:uiPriority w:val="99"/>
    <w:semiHidden/>
    <w:rsid w:val="003A31F2"/>
    <w:rPr>
      <w:rFonts w:ascii="Arial" w:eastAsia="Arial" w:hAnsi="Arial" w:cs="Arial"/>
      <w:sz w:val="20"/>
      <w:szCs w:val="20"/>
      <w:lang w:val="en-GB" w:eastAsia="sv-SE"/>
    </w:rPr>
  </w:style>
  <w:style w:type="character" w:styleId="Slutnotsreferens">
    <w:name w:val="endnote reference"/>
    <w:basedOn w:val="Standardstycketeckensnitt"/>
    <w:uiPriority w:val="99"/>
    <w:semiHidden/>
    <w:unhideWhenUsed/>
    <w:rsid w:val="003A31F2"/>
    <w:rPr>
      <w:vertAlign w:val="superscript"/>
    </w:rPr>
  </w:style>
  <w:style w:type="paragraph" w:customStyle="1" w:styleId="Normal3">
    <w:name w:val="Normal3"/>
    <w:basedOn w:val="Normal"/>
    <w:rsid w:val="00DD13C7"/>
    <w:pPr>
      <w:spacing w:before="100" w:beforeAutospacing="1" w:after="100" w:afterAutospacing="1"/>
    </w:pPr>
    <w:rPr>
      <w:rFonts w:ascii="Times New Roman" w:eastAsia="Times New Roman" w:hAnsi="Times New Roman" w:cs="Times New Roman"/>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911">
      <w:bodyDiv w:val="1"/>
      <w:marLeft w:val="0"/>
      <w:marRight w:val="0"/>
      <w:marTop w:val="0"/>
      <w:marBottom w:val="0"/>
      <w:divBdr>
        <w:top w:val="none" w:sz="0" w:space="0" w:color="auto"/>
        <w:left w:val="none" w:sz="0" w:space="0" w:color="auto"/>
        <w:bottom w:val="none" w:sz="0" w:space="0" w:color="auto"/>
        <w:right w:val="none" w:sz="0" w:space="0" w:color="auto"/>
      </w:divBdr>
    </w:div>
    <w:div w:id="397367928">
      <w:bodyDiv w:val="1"/>
      <w:marLeft w:val="0"/>
      <w:marRight w:val="0"/>
      <w:marTop w:val="0"/>
      <w:marBottom w:val="0"/>
      <w:divBdr>
        <w:top w:val="none" w:sz="0" w:space="0" w:color="auto"/>
        <w:left w:val="none" w:sz="0" w:space="0" w:color="auto"/>
        <w:bottom w:val="none" w:sz="0" w:space="0" w:color="auto"/>
        <w:right w:val="none" w:sz="0" w:space="0" w:color="auto"/>
      </w:divBdr>
      <w:divsChild>
        <w:div w:id="1538161843">
          <w:marLeft w:val="0"/>
          <w:marRight w:val="0"/>
          <w:marTop w:val="0"/>
          <w:marBottom w:val="0"/>
          <w:divBdr>
            <w:top w:val="none" w:sz="0" w:space="0" w:color="auto"/>
            <w:left w:val="none" w:sz="0" w:space="0" w:color="auto"/>
            <w:bottom w:val="none" w:sz="0" w:space="0" w:color="auto"/>
            <w:right w:val="none" w:sz="0" w:space="0" w:color="auto"/>
          </w:divBdr>
        </w:div>
      </w:divsChild>
    </w:div>
    <w:div w:id="1057436038">
      <w:bodyDiv w:val="1"/>
      <w:marLeft w:val="0"/>
      <w:marRight w:val="0"/>
      <w:marTop w:val="0"/>
      <w:marBottom w:val="0"/>
      <w:divBdr>
        <w:top w:val="none" w:sz="0" w:space="0" w:color="auto"/>
        <w:left w:val="none" w:sz="0" w:space="0" w:color="auto"/>
        <w:bottom w:val="none" w:sz="0" w:space="0" w:color="auto"/>
        <w:right w:val="none" w:sz="0" w:space="0" w:color="auto"/>
      </w:divBdr>
      <w:divsChild>
        <w:div w:id="24868975">
          <w:marLeft w:val="0"/>
          <w:marRight w:val="0"/>
          <w:marTop w:val="0"/>
          <w:marBottom w:val="0"/>
          <w:divBdr>
            <w:top w:val="none" w:sz="0" w:space="0" w:color="auto"/>
            <w:left w:val="none" w:sz="0" w:space="0" w:color="auto"/>
            <w:bottom w:val="none" w:sz="0" w:space="0" w:color="auto"/>
            <w:right w:val="none" w:sz="0" w:space="0" w:color="auto"/>
          </w:divBdr>
        </w:div>
        <w:div w:id="96484781">
          <w:marLeft w:val="0"/>
          <w:marRight w:val="0"/>
          <w:marTop w:val="0"/>
          <w:marBottom w:val="0"/>
          <w:divBdr>
            <w:top w:val="none" w:sz="0" w:space="0" w:color="auto"/>
            <w:left w:val="none" w:sz="0" w:space="0" w:color="auto"/>
            <w:bottom w:val="none" w:sz="0" w:space="0" w:color="auto"/>
            <w:right w:val="none" w:sz="0" w:space="0" w:color="auto"/>
          </w:divBdr>
        </w:div>
        <w:div w:id="108398724">
          <w:marLeft w:val="0"/>
          <w:marRight w:val="0"/>
          <w:marTop w:val="0"/>
          <w:marBottom w:val="0"/>
          <w:divBdr>
            <w:top w:val="none" w:sz="0" w:space="0" w:color="auto"/>
            <w:left w:val="none" w:sz="0" w:space="0" w:color="auto"/>
            <w:bottom w:val="none" w:sz="0" w:space="0" w:color="auto"/>
            <w:right w:val="none" w:sz="0" w:space="0" w:color="auto"/>
          </w:divBdr>
        </w:div>
        <w:div w:id="524712049">
          <w:marLeft w:val="0"/>
          <w:marRight w:val="0"/>
          <w:marTop w:val="0"/>
          <w:marBottom w:val="0"/>
          <w:divBdr>
            <w:top w:val="none" w:sz="0" w:space="0" w:color="auto"/>
            <w:left w:val="none" w:sz="0" w:space="0" w:color="auto"/>
            <w:bottom w:val="none" w:sz="0" w:space="0" w:color="auto"/>
            <w:right w:val="none" w:sz="0" w:space="0" w:color="auto"/>
          </w:divBdr>
        </w:div>
        <w:div w:id="816338571">
          <w:marLeft w:val="0"/>
          <w:marRight w:val="0"/>
          <w:marTop w:val="0"/>
          <w:marBottom w:val="0"/>
          <w:divBdr>
            <w:top w:val="none" w:sz="0" w:space="0" w:color="auto"/>
            <w:left w:val="none" w:sz="0" w:space="0" w:color="auto"/>
            <w:bottom w:val="none" w:sz="0" w:space="0" w:color="auto"/>
            <w:right w:val="none" w:sz="0" w:space="0" w:color="auto"/>
          </w:divBdr>
        </w:div>
        <w:div w:id="894320631">
          <w:marLeft w:val="0"/>
          <w:marRight w:val="0"/>
          <w:marTop w:val="0"/>
          <w:marBottom w:val="0"/>
          <w:divBdr>
            <w:top w:val="none" w:sz="0" w:space="0" w:color="auto"/>
            <w:left w:val="none" w:sz="0" w:space="0" w:color="auto"/>
            <w:bottom w:val="none" w:sz="0" w:space="0" w:color="auto"/>
            <w:right w:val="none" w:sz="0" w:space="0" w:color="auto"/>
          </w:divBdr>
        </w:div>
        <w:div w:id="903565810">
          <w:marLeft w:val="0"/>
          <w:marRight w:val="0"/>
          <w:marTop w:val="0"/>
          <w:marBottom w:val="0"/>
          <w:divBdr>
            <w:top w:val="none" w:sz="0" w:space="0" w:color="auto"/>
            <w:left w:val="none" w:sz="0" w:space="0" w:color="auto"/>
            <w:bottom w:val="none" w:sz="0" w:space="0" w:color="auto"/>
            <w:right w:val="none" w:sz="0" w:space="0" w:color="auto"/>
          </w:divBdr>
        </w:div>
        <w:div w:id="914127295">
          <w:marLeft w:val="0"/>
          <w:marRight w:val="0"/>
          <w:marTop w:val="0"/>
          <w:marBottom w:val="0"/>
          <w:divBdr>
            <w:top w:val="none" w:sz="0" w:space="0" w:color="auto"/>
            <w:left w:val="none" w:sz="0" w:space="0" w:color="auto"/>
            <w:bottom w:val="none" w:sz="0" w:space="0" w:color="auto"/>
            <w:right w:val="none" w:sz="0" w:space="0" w:color="auto"/>
          </w:divBdr>
        </w:div>
        <w:div w:id="974063163">
          <w:marLeft w:val="0"/>
          <w:marRight w:val="0"/>
          <w:marTop w:val="0"/>
          <w:marBottom w:val="0"/>
          <w:divBdr>
            <w:top w:val="none" w:sz="0" w:space="0" w:color="auto"/>
            <w:left w:val="none" w:sz="0" w:space="0" w:color="auto"/>
            <w:bottom w:val="none" w:sz="0" w:space="0" w:color="auto"/>
            <w:right w:val="none" w:sz="0" w:space="0" w:color="auto"/>
          </w:divBdr>
        </w:div>
        <w:div w:id="1124617872">
          <w:marLeft w:val="0"/>
          <w:marRight w:val="0"/>
          <w:marTop w:val="0"/>
          <w:marBottom w:val="0"/>
          <w:divBdr>
            <w:top w:val="none" w:sz="0" w:space="0" w:color="auto"/>
            <w:left w:val="none" w:sz="0" w:space="0" w:color="auto"/>
            <w:bottom w:val="none" w:sz="0" w:space="0" w:color="auto"/>
            <w:right w:val="none" w:sz="0" w:space="0" w:color="auto"/>
          </w:divBdr>
        </w:div>
        <w:div w:id="1437213832">
          <w:marLeft w:val="0"/>
          <w:marRight w:val="0"/>
          <w:marTop w:val="0"/>
          <w:marBottom w:val="0"/>
          <w:divBdr>
            <w:top w:val="none" w:sz="0" w:space="0" w:color="auto"/>
            <w:left w:val="none" w:sz="0" w:space="0" w:color="auto"/>
            <w:bottom w:val="none" w:sz="0" w:space="0" w:color="auto"/>
            <w:right w:val="none" w:sz="0" w:space="0" w:color="auto"/>
          </w:divBdr>
        </w:div>
        <w:div w:id="1645237912">
          <w:marLeft w:val="0"/>
          <w:marRight w:val="0"/>
          <w:marTop w:val="0"/>
          <w:marBottom w:val="0"/>
          <w:divBdr>
            <w:top w:val="none" w:sz="0" w:space="0" w:color="auto"/>
            <w:left w:val="none" w:sz="0" w:space="0" w:color="auto"/>
            <w:bottom w:val="none" w:sz="0" w:space="0" w:color="auto"/>
            <w:right w:val="none" w:sz="0" w:space="0" w:color="auto"/>
          </w:divBdr>
        </w:div>
        <w:div w:id="1887521288">
          <w:marLeft w:val="0"/>
          <w:marRight w:val="0"/>
          <w:marTop w:val="0"/>
          <w:marBottom w:val="0"/>
          <w:divBdr>
            <w:top w:val="none" w:sz="0" w:space="0" w:color="auto"/>
            <w:left w:val="none" w:sz="0" w:space="0" w:color="auto"/>
            <w:bottom w:val="none" w:sz="0" w:space="0" w:color="auto"/>
            <w:right w:val="none" w:sz="0" w:space="0" w:color="auto"/>
          </w:divBdr>
        </w:div>
      </w:divsChild>
    </w:div>
    <w:div w:id="1129854807">
      <w:bodyDiv w:val="1"/>
      <w:marLeft w:val="0"/>
      <w:marRight w:val="0"/>
      <w:marTop w:val="0"/>
      <w:marBottom w:val="0"/>
      <w:divBdr>
        <w:top w:val="none" w:sz="0" w:space="0" w:color="auto"/>
        <w:left w:val="none" w:sz="0" w:space="0" w:color="auto"/>
        <w:bottom w:val="none" w:sz="0" w:space="0" w:color="auto"/>
        <w:right w:val="none" w:sz="0" w:space="0" w:color="auto"/>
      </w:divBdr>
    </w:div>
    <w:div w:id="1272474761">
      <w:bodyDiv w:val="1"/>
      <w:marLeft w:val="0"/>
      <w:marRight w:val="0"/>
      <w:marTop w:val="0"/>
      <w:marBottom w:val="0"/>
      <w:divBdr>
        <w:top w:val="none" w:sz="0" w:space="0" w:color="auto"/>
        <w:left w:val="none" w:sz="0" w:space="0" w:color="auto"/>
        <w:bottom w:val="none" w:sz="0" w:space="0" w:color="auto"/>
        <w:right w:val="none" w:sz="0" w:space="0" w:color="auto"/>
      </w:divBdr>
    </w:div>
    <w:div w:id="1298680236">
      <w:bodyDiv w:val="1"/>
      <w:marLeft w:val="0"/>
      <w:marRight w:val="0"/>
      <w:marTop w:val="0"/>
      <w:marBottom w:val="0"/>
      <w:divBdr>
        <w:top w:val="none" w:sz="0" w:space="0" w:color="auto"/>
        <w:left w:val="none" w:sz="0" w:space="0" w:color="auto"/>
        <w:bottom w:val="none" w:sz="0" w:space="0" w:color="auto"/>
        <w:right w:val="none" w:sz="0" w:space="0" w:color="auto"/>
      </w:divBdr>
      <w:divsChild>
        <w:div w:id="1814130064">
          <w:marLeft w:val="0"/>
          <w:marRight w:val="0"/>
          <w:marTop w:val="0"/>
          <w:marBottom w:val="0"/>
          <w:divBdr>
            <w:top w:val="none" w:sz="0" w:space="0" w:color="auto"/>
            <w:left w:val="none" w:sz="0" w:space="0" w:color="auto"/>
            <w:bottom w:val="none" w:sz="0" w:space="0" w:color="auto"/>
            <w:right w:val="none" w:sz="0" w:space="0" w:color="auto"/>
          </w:divBdr>
          <w:divsChild>
            <w:div w:id="2143452285">
              <w:marLeft w:val="0"/>
              <w:marRight w:val="0"/>
              <w:marTop w:val="0"/>
              <w:marBottom w:val="0"/>
              <w:divBdr>
                <w:top w:val="none" w:sz="0" w:space="0" w:color="auto"/>
                <w:left w:val="none" w:sz="0" w:space="0" w:color="auto"/>
                <w:bottom w:val="none" w:sz="0" w:space="0" w:color="auto"/>
                <w:right w:val="none" w:sz="0" w:space="0" w:color="auto"/>
              </w:divBdr>
              <w:divsChild>
                <w:div w:id="1924491068">
                  <w:marLeft w:val="0"/>
                  <w:marRight w:val="0"/>
                  <w:marTop w:val="0"/>
                  <w:marBottom w:val="0"/>
                  <w:divBdr>
                    <w:top w:val="none" w:sz="0" w:space="0" w:color="auto"/>
                    <w:left w:val="none" w:sz="0" w:space="0" w:color="auto"/>
                    <w:bottom w:val="none" w:sz="0" w:space="0" w:color="auto"/>
                    <w:right w:val="none" w:sz="0" w:space="0" w:color="auto"/>
                  </w:divBdr>
                  <w:divsChild>
                    <w:div w:id="18251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342710">
      <w:bodyDiv w:val="1"/>
      <w:marLeft w:val="0"/>
      <w:marRight w:val="0"/>
      <w:marTop w:val="0"/>
      <w:marBottom w:val="0"/>
      <w:divBdr>
        <w:top w:val="none" w:sz="0" w:space="0" w:color="auto"/>
        <w:left w:val="none" w:sz="0" w:space="0" w:color="auto"/>
        <w:bottom w:val="none" w:sz="0" w:space="0" w:color="auto"/>
        <w:right w:val="none" w:sz="0" w:space="0" w:color="auto"/>
      </w:divBdr>
    </w:div>
    <w:div w:id="1506167219">
      <w:bodyDiv w:val="1"/>
      <w:marLeft w:val="0"/>
      <w:marRight w:val="0"/>
      <w:marTop w:val="0"/>
      <w:marBottom w:val="0"/>
      <w:divBdr>
        <w:top w:val="none" w:sz="0" w:space="0" w:color="auto"/>
        <w:left w:val="none" w:sz="0" w:space="0" w:color="auto"/>
        <w:bottom w:val="none" w:sz="0" w:space="0" w:color="auto"/>
        <w:right w:val="none" w:sz="0" w:space="0" w:color="auto"/>
      </w:divBdr>
    </w:div>
    <w:div w:id="1514105295">
      <w:bodyDiv w:val="1"/>
      <w:marLeft w:val="0"/>
      <w:marRight w:val="0"/>
      <w:marTop w:val="0"/>
      <w:marBottom w:val="0"/>
      <w:divBdr>
        <w:top w:val="none" w:sz="0" w:space="0" w:color="auto"/>
        <w:left w:val="none" w:sz="0" w:space="0" w:color="auto"/>
        <w:bottom w:val="none" w:sz="0" w:space="0" w:color="auto"/>
        <w:right w:val="none" w:sz="0" w:space="0" w:color="auto"/>
      </w:divBdr>
    </w:div>
    <w:div w:id="1715156349">
      <w:bodyDiv w:val="1"/>
      <w:marLeft w:val="0"/>
      <w:marRight w:val="0"/>
      <w:marTop w:val="0"/>
      <w:marBottom w:val="0"/>
      <w:divBdr>
        <w:top w:val="none" w:sz="0" w:space="0" w:color="auto"/>
        <w:left w:val="none" w:sz="0" w:space="0" w:color="auto"/>
        <w:bottom w:val="none" w:sz="0" w:space="0" w:color="auto"/>
        <w:right w:val="none" w:sz="0" w:space="0" w:color="auto"/>
      </w:divBdr>
    </w:div>
    <w:div w:id="1776974863">
      <w:bodyDiv w:val="1"/>
      <w:marLeft w:val="0"/>
      <w:marRight w:val="0"/>
      <w:marTop w:val="0"/>
      <w:marBottom w:val="0"/>
      <w:divBdr>
        <w:top w:val="none" w:sz="0" w:space="0" w:color="auto"/>
        <w:left w:val="none" w:sz="0" w:space="0" w:color="auto"/>
        <w:bottom w:val="none" w:sz="0" w:space="0" w:color="auto"/>
        <w:right w:val="none" w:sz="0" w:space="0" w:color="auto"/>
      </w:divBdr>
    </w:div>
    <w:div w:id="1939949051">
      <w:bodyDiv w:val="1"/>
      <w:marLeft w:val="0"/>
      <w:marRight w:val="0"/>
      <w:marTop w:val="0"/>
      <w:marBottom w:val="0"/>
      <w:divBdr>
        <w:top w:val="none" w:sz="0" w:space="0" w:color="auto"/>
        <w:left w:val="none" w:sz="0" w:space="0" w:color="auto"/>
        <w:bottom w:val="none" w:sz="0" w:space="0" w:color="auto"/>
        <w:right w:val="none" w:sz="0" w:space="0" w:color="auto"/>
      </w:divBdr>
    </w:div>
    <w:div w:id="2000422536">
      <w:bodyDiv w:val="1"/>
      <w:marLeft w:val="0"/>
      <w:marRight w:val="0"/>
      <w:marTop w:val="0"/>
      <w:marBottom w:val="0"/>
      <w:divBdr>
        <w:top w:val="none" w:sz="0" w:space="0" w:color="auto"/>
        <w:left w:val="none" w:sz="0" w:space="0" w:color="auto"/>
        <w:bottom w:val="none" w:sz="0" w:space="0" w:color="auto"/>
        <w:right w:val="none" w:sz="0" w:space="0" w:color="auto"/>
      </w:divBdr>
    </w:div>
    <w:div w:id="202292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97579566367E048AB04FE88627194CE" ma:contentTypeVersion="6" ma:contentTypeDescription="Skapa ett nytt dokument." ma:contentTypeScope="" ma:versionID="6b4142dcfb205ae3fa070ad8027d56ab">
  <xsd:schema xmlns:xsd="http://www.w3.org/2001/XMLSchema" xmlns:xs="http://www.w3.org/2001/XMLSchema" xmlns:p="http://schemas.microsoft.com/office/2006/metadata/properties" xmlns:ns2="ca29c135-d4a6-485d-b5b0-e6044dde5232" xmlns:ns3="bf5cc679-68f1-4196-9712-7a07d2501221" targetNamespace="http://schemas.microsoft.com/office/2006/metadata/properties" ma:root="true" ma:fieldsID="8cabcaa2acae9fe5bc34505802f38964" ns2:_="" ns3:_="">
    <xsd:import namespace="ca29c135-d4a6-485d-b5b0-e6044dde5232"/>
    <xsd:import namespace="bf5cc679-68f1-4196-9712-7a07d2501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9c135-d4a6-485d-b5b0-e6044dde5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5cc679-68f1-4196-9712-7a07d2501221"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4B870E-C8FC-4491-8535-460DE885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9c135-d4a6-485d-b5b0-e6044dde5232"/>
    <ds:schemaRef ds:uri="bf5cc679-68f1-4196-9712-7a07d2501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1BE38-3635-4FEC-85ED-8AB0DB107A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6B1D2B-769A-4447-B18F-2AC48EA5DD94}">
  <ds:schemaRefs>
    <ds:schemaRef ds:uri="http://schemas.openxmlformats.org/officeDocument/2006/bibliography"/>
  </ds:schemaRefs>
</ds:datastoreItem>
</file>

<file path=customXml/itemProps4.xml><?xml version="1.0" encoding="utf-8"?>
<ds:datastoreItem xmlns:ds="http://schemas.openxmlformats.org/officeDocument/2006/customXml" ds:itemID="{F5ED3406-009D-4717-87B1-CF26B3C85A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2205</Words>
  <Characters>11691</Characters>
  <Application>Microsoft Office Word</Application>
  <DocSecurity>0</DocSecurity>
  <Lines>97</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Osser</dc:creator>
  <cp:keywords/>
  <dc:description/>
  <cp:lastModifiedBy>Andrea Pålsson</cp:lastModifiedBy>
  <cp:revision>76</cp:revision>
  <cp:lastPrinted>2020-10-25T23:02:00Z</cp:lastPrinted>
  <dcterms:created xsi:type="dcterms:W3CDTF">2021-02-26T08:01:00Z</dcterms:created>
  <dcterms:modified xsi:type="dcterms:W3CDTF">2022-02-14T10:21:00Z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0x010100597579566367E048AB04FE88627194CE</vt:lpwstr>
  </property>
</Properties>
</file>